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Century Gothic" w:hAnsi="Century Gothic"/>
          <w:b/>
        </w:rPr>
      </w:pPr>
      <w:r>
        <w:rPr>
          <w:rFonts w:ascii="Century Gothic" w:hAnsi="Century Gothic"/>
          <w:b/>
          <w:noProof/>
          <w:lang w:eastAsia="fr-FR"/>
        </w:rPr>
        <w:drawing>
          <wp:anchor distT="0" distB="0" distL="114300" distR="114300" simplePos="0" relativeHeight="251658240" behindDoc="0" locked="0" layoutInCell="1" allowOverlap="1">
            <wp:simplePos x="0" y="0"/>
            <wp:positionH relativeFrom="margin">
              <wp:posOffset>4129405</wp:posOffset>
            </wp:positionH>
            <wp:positionV relativeFrom="paragraph">
              <wp:posOffset>0</wp:posOffset>
            </wp:positionV>
            <wp:extent cx="1914525" cy="525145"/>
            <wp:effectExtent l="0" t="0" r="9525"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hu-cmj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4525" cy="525145"/>
                    </a:xfrm>
                    <a:prstGeom prst="rect">
                      <a:avLst/>
                    </a:prstGeom>
                  </pic:spPr>
                </pic:pic>
              </a:graphicData>
            </a:graphic>
            <wp14:sizeRelH relativeFrom="margin">
              <wp14:pctWidth>0</wp14:pctWidth>
            </wp14:sizeRelH>
            <wp14:sizeRelV relativeFrom="margin">
              <wp14:pctHeight>0</wp14:pctHeight>
            </wp14:sizeRelV>
          </wp:anchor>
        </w:drawing>
      </w: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rPr>
      </w:pPr>
    </w:p>
    <w:p>
      <w:pPr>
        <w:spacing w:after="0" w:line="240" w:lineRule="auto"/>
        <w:jc w:val="center"/>
        <w:rPr>
          <w:rFonts w:ascii="Century Gothic" w:hAnsi="Century Gothic"/>
          <w:b/>
          <w:color w:val="008080"/>
        </w:rPr>
      </w:pPr>
      <w:r>
        <w:rPr>
          <w:rFonts w:ascii="Century Gothic" w:hAnsi="Century Gothic"/>
          <w:b/>
          <w:color w:val="008080"/>
        </w:rPr>
        <w:t>INTITULE DU POSTE</w:t>
      </w:r>
    </w:p>
    <w:p>
      <w:pPr>
        <w:spacing w:after="0" w:line="240" w:lineRule="auto"/>
        <w:jc w:val="center"/>
        <w:rPr>
          <w:rFonts w:ascii="Century Gothic" w:hAnsi="Century Gothic"/>
          <w:b/>
        </w:rPr>
      </w:pPr>
    </w:p>
    <w:tbl>
      <w:tblPr>
        <w:tblStyle w:val="Grilledutableau"/>
        <w:tblW w:w="0" w:type="auto"/>
        <w:tblBorders>
          <w:top w:val="single" w:sz="4" w:space="0" w:color="00B1AA"/>
          <w:left w:val="none" w:sz="0" w:space="0" w:color="auto"/>
          <w:bottom w:val="single" w:sz="4" w:space="0" w:color="00B1AA"/>
          <w:right w:val="none" w:sz="0" w:space="0" w:color="auto"/>
          <w:insideH w:val="single" w:sz="4" w:space="0" w:color="00B1AA"/>
          <w:insideV w:val="single" w:sz="4" w:space="0" w:color="00B1AA"/>
        </w:tblBorders>
        <w:tblLook w:val="04A0" w:firstRow="1" w:lastRow="0" w:firstColumn="1" w:lastColumn="0" w:noHBand="0" w:noVBand="1"/>
      </w:tblPr>
      <w:tblGrid>
        <w:gridCol w:w="3256"/>
        <w:gridCol w:w="5806"/>
      </w:tblGrid>
      <w:tr>
        <w:tc>
          <w:tcPr>
            <w:tcW w:w="3256" w:type="dxa"/>
          </w:tcPr>
          <w:p>
            <w:pPr>
              <w:rPr>
                <w:rFonts w:ascii="Century Gothic" w:hAnsi="Century Gothic"/>
                <w:b/>
                <w:sz w:val="19"/>
                <w:szCs w:val="19"/>
              </w:rPr>
            </w:pPr>
            <w:r>
              <w:rPr>
                <w:rFonts w:ascii="Century Gothic" w:hAnsi="Century Gothic"/>
                <w:b/>
                <w:sz w:val="19"/>
                <w:szCs w:val="19"/>
              </w:rPr>
              <w:t>Temps de travail</w:t>
            </w:r>
          </w:p>
        </w:tc>
        <w:tc>
          <w:tcPr>
            <w:tcW w:w="5806" w:type="dxa"/>
          </w:tcPr>
          <w:p>
            <w:pPr>
              <w:rPr>
                <w:rFonts w:ascii="Century Gothic" w:hAnsi="Century Gothic"/>
                <w:sz w:val="19"/>
                <w:szCs w:val="19"/>
              </w:rPr>
            </w:pPr>
            <w:r>
              <w:rPr>
                <w:rFonts w:ascii="Century Gothic" w:hAnsi="Century Gothic"/>
                <w:sz w:val="19"/>
                <w:szCs w:val="19"/>
              </w:rPr>
              <w:t>100%</w:t>
            </w:r>
          </w:p>
        </w:tc>
      </w:tr>
      <w:tr>
        <w:tc>
          <w:tcPr>
            <w:tcW w:w="3256" w:type="dxa"/>
          </w:tcPr>
          <w:p>
            <w:pPr>
              <w:rPr>
                <w:rFonts w:ascii="Century Gothic" w:hAnsi="Century Gothic"/>
                <w:b/>
                <w:sz w:val="19"/>
                <w:szCs w:val="19"/>
              </w:rPr>
            </w:pPr>
            <w:r>
              <w:rPr>
                <w:rFonts w:ascii="Century Gothic" w:hAnsi="Century Gothic"/>
                <w:b/>
                <w:sz w:val="19"/>
                <w:szCs w:val="19"/>
              </w:rPr>
              <w:t>Statut</w:t>
            </w:r>
          </w:p>
        </w:tc>
        <w:tc>
          <w:tcPr>
            <w:tcW w:w="5806" w:type="dxa"/>
          </w:tcPr>
          <w:p>
            <w:pPr>
              <w:rPr>
                <w:rFonts w:ascii="Century Gothic" w:hAnsi="Century Gothic"/>
                <w:sz w:val="19"/>
                <w:szCs w:val="19"/>
              </w:rPr>
            </w:pPr>
            <w:r>
              <w:rPr>
                <w:rFonts w:ascii="Century Gothic" w:hAnsi="Century Gothic"/>
                <w:sz w:val="19"/>
                <w:szCs w:val="19"/>
              </w:rPr>
              <w:t xml:space="preserve"> Praticien hospitalier temps plein</w:t>
            </w:r>
          </w:p>
        </w:tc>
      </w:tr>
      <w:tr>
        <w:tc>
          <w:tcPr>
            <w:tcW w:w="3256" w:type="dxa"/>
          </w:tcPr>
          <w:p>
            <w:pPr>
              <w:rPr>
                <w:rFonts w:ascii="Century Gothic" w:hAnsi="Century Gothic"/>
                <w:b/>
                <w:sz w:val="19"/>
                <w:szCs w:val="19"/>
              </w:rPr>
            </w:pPr>
            <w:r>
              <w:rPr>
                <w:rFonts w:ascii="Century Gothic" w:hAnsi="Century Gothic"/>
                <w:b/>
                <w:sz w:val="19"/>
                <w:szCs w:val="19"/>
              </w:rPr>
              <w:t>Grade</w:t>
            </w:r>
          </w:p>
        </w:tc>
        <w:tc>
          <w:tcPr>
            <w:tcW w:w="5806" w:type="dxa"/>
          </w:tcPr>
          <w:p>
            <w:pPr>
              <w:rPr>
                <w:rFonts w:ascii="Century Gothic" w:hAnsi="Century Gothic"/>
                <w:sz w:val="19"/>
                <w:szCs w:val="19"/>
              </w:rPr>
            </w:pPr>
          </w:p>
        </w:tc>
      </w:tr>
      <w:tr>
        <w:tc>
          <w:tcPr>
            <w:tcW w:w="3256" w:type="dxa"/>
          </w:tcPr>
          <w:p>
            <w:pPr>
              <w:rPr>
                <w:rFonts w:ascii="Century Gothic" w:hAnsi="Century Gothic"/>
                <w:b/>
                <w:sz w:val="19"/>
                <w:szCs w:val="19"/>
              </w:rPr>
            </w:pPr>
            <w:r>
              <w:rPr>
                <w:rFonts w:ascii="Century Gothic" w:hAnsi="Century Gothic"/>
                <w:b/>
                <w:sz w:val="19"/>
                <w:szCs w:val="19"/>
              </w:rPr>
              <w:t>Intitulé du poste</w:t>
            </w:r>
          </w:p>
        </w:tc>
        <w:tc>
          <w:tcPr>
            <w:tcW w:w="5806" w:type="dxa"/>
          </w:tcPr>
          <w:p>
            <w:pPr>
              <w:rPr>
                <w:rFonts w:ascii="Century Gothic" w:hAnsi="Century Gothic"/>
                <w:sz w:val="19"/>
                <w:szCs w:val="19"/>
              </w:rPr>
            </w:pPr>
            <w:r>
              <w:rPr>
                <w:rFonts w:ascii="Century Gothic" w:hAnsi="Century Gothic"/>
                <w:sz w:val="19"/>
                <w:szCs w:val="19"/>
              </w:rPr>
              <w:t>Psychiatre Responsable CMP</w:t>
            </w:r>
          </w:p>
        </w:tc>
      </w:tr>
      <w:tr>
        <w:tc>
          <w:tcPr>
            <w:tcW w:w="3256" w:type="dxa"/>
          </w:tcPr>
          <w:p>
            <w:pPr>
              <w:rPr>
                <w:rFonts w:ascii="Century Gothic" w:hAnsi="Century Gothic"/>
                <w:b/>
                <w:sz w:val="19"/>
                <w:szCs w:val="19"/>
              </w:rPr>
            </w:pPr>
            <w:r>
              <w:rPr>
                <w:rFonts w:ascii="Century Gothic" w:hAnsi="Century Gothic"/>
                <w:b/>
                <w:sz w:val="19"/>
                <w:szCs w:val="19"/>
              </w:rPr>
              <w:t>Lieux de travail</w:t>
            </w:r>
          </w:p>
        </w:tc>
        <w:tc>
          <w:tcPr>
            <w:tcW w:w="5806" w:type="dxa"/>
          </w:tcPr>
          <w:p>
            <w:pPr>
              <w:rPr>
                <w:rFonts w:ascii="Century Gothic" w:hAnsi="Century Gothic"/>
                <w:sz w:val="19"/>
                <w:szCs w:val="19"/>
              </w:rPr>
            </w:pPr>
            <w:r>
              <w:rPr>
                <w:rFonts w:ascii="Century Gothic" w:hAnsi="Century Gothic"/>
                <w:sz w:val="19"/>
                <w:szCs w:val="19"/>
              </w:rPr>
              <w:t>GHU site Henri Ey, 15, avenue de la Porte de Choisy, 75013 Paris et CMP Amsterdam, 7, rue de Bucarest 75008 Paris</w:t>
            </w:r>
          </w:p>
        </w:tc>
      </w:tr>
      <w:tr>
        <w:tc>
          <w:tcPr>
            <w:tcW w:w="3256" w:type="dxa"/>
          </w:tcPr>
          <w:p>
            <w:pPr>
              <w:rPr>
                <w:rFonts w:ascii="Century Gothic" w:hAnsi="Century Gothic"/>
                <w:b/>
                <w:sz w:val="19"/>
                <w:szCs w:val="19"/>
              </w:rPr>
            </w:pPr>
            <w:r>
              <w:rPr>
                <w:rFonts w:ascii="Century Gothic" w:hAnsi="Century Gothic"/>
                <w:b/>
                <w:sz w:val="19"/>
                <w:szCs w:val="19"/>
              </w:rPr>
              <w:t>Organisation du travail</w:t>
            </w:r>
          </w:p>
        </w:tc>
        <w:tc>
          <w:tcPr>
            <w:tcW w:w="5806" w:type="dxa"/>
          </w:tcPr>
          <w:p>
            <w:pPr>
              <w:rPr>
                <w:rFonts w:ascii="Century Gothic" w:hAnsi="Century Gothic"/>
                <w:sz w:val="19"/>
                <w:szCs w:val="19"/>
              </w:rPr>
            </w:pPr>
            <w:r>
              <w:rPr>
                <w:rFonts w:ascii="Century Gothic" w:hAnsi="Century Gothic"/>
                <w:sz w:val="19"/>
                <w:szCs w:val="19"/>
              </w:rPr>
              <w:t>10 demi-journées par semaine</w:t>
            </w:r>
          </w:p>
        </w:tc>
      </w:tr>
      <w:tr>
        <w:tc>
          <w:tcPr>
            <w:tcW w:w="3256" w:type="dxa"/>
          </w:tcPr>
          <w:p>
            <w:pPr>
              <w:rPr>
                <w:rFonts w:ascii="Century Gothic" w:hAnsi="Century Gothic"/>
                <w:b/>
                <w:sz w:val="19"/>
                <w:szCs w:val="19"/>
              </w:rPr>
            </w:pPr>
            <w:r>
              <w:rPr>
                <w:rFonts w:ascii="Century Gothic" w:hAnsi="Century Gothic"/>
                <w:b/>
                <w:sz w:val="19"/>
                <w:szCs w:val="19"/>
              </w:rPr>
              <w:t>Horaires</w:t>
            </w:r>
          </w:p>
        </w:tc>
        <w:tc>
          <w:tcPr>
            <w:tcW w:w="5806" w:type="dxa"/>
          </w:tcPr>
          <w:p>
            <w:pPr>
              <w:rPr>
                <w:rFonts w:ascii="Century Gothic" w:hAnsi="Century Gothic"/>
                <w:sz w:val="19"/>
                <w:szCs w:val="19"/>
              </w:rPr>
            </w:pPr>
          </w:p>
        </w:tc>
      </w:tr>
      <w:tr>
        <w:tc>
          <w:tcPr>
            <w:tcW w:w="3256" w:type="dxa"/>
          </w:tcPr>
          <w:p>
            <w:pPr>
              <w:rPr>
                <w:rFonts w:ascii="Century Gothic" w:hAnsi="Century Gothic"/>
                <w:b/>
                <w:sz w:val="19"/>
                <w:szCs w:val="19"/>
              </w:rPr>
            </w:pPr>
            <w:r>
              <w:rPr>
                <w:rFonts w:ascii="Century Gothic" w:hAnsi="Century Gothic"/>
                <w:b/>
                <w:sz w:val="19"/>
                <w:szCs w:val="19"/>
              </w:rPr>
              <w:t>Spécificités liées à la fonction</w:t>
            </w:r>
          </w:p>
        </w:tc>
        <w:tc>
          <w:tcPr>
            <w:tcW w:w="5806" w:type="dxa"/>
          </w:tcPr>
          <w:p>
            <w:pPr>
              <w:rPr>
                <w:rFonts w:ascii="Century Gothic" w:hAnsi="Century Gothic"/>
                <w:sz w:val="19"/>
                <w:szCs w:val="19"/>
              </w:rPr>
            </w:pPr>
            <w:r>
              <w:rPr>
                <w:rFonts w:ascii="Century Gothic" w:hAnsi="Century Gothic"/>
                <w:sz w:val="19"/>
                <w:szCs w:val="19"/>
              </w:rPr>
              <w:t xml:space="preserve"> </w:t>
            </w:r>
          </w:p>
        </w:tc>
      </w:tr>
      <w:tr>
        <w:tc>
          <w:tcPr>
            <w:tcW w:w="3256" w:type="dxa"/>
          </w:tcPr>
          <w:p>
            <w:pPr>
              <w:rPr>
                <w:rFonts w:ascii="Century Gothic" w:hAnsi="Century Gothic"/>
                <w:b/>
                <w:sz w:val="19"/>
                <w:szCs w:val="19"/>
              </w:rPr>
            </w:pPr>
            <w:r>
              <w:rPr>
                <w:rFonts w:ascii="Century Gothic" w:hAnsi="Century Gothic"/>
                <w:b/>
                <w:sz w:val="19"/>
                <w:szCs w:val="19"/>
              </w:rPr>
              <w:t xml:space="preserve">Poste à pourvoir à compter du </w:t>
            </w:r>
          </w:p>
        </w:tc>
        <w:tc>
          <w:tcPr>
            <w:tcW w:w="5806" w:type="dxa"/>
          </w:tcPr>
          <w:p>
            <w:pPr>
              <w:rPr>
                <w:rFonts w:ascii="Century Gothic" w:hAnsi="Century Gothic"/>
                <w:sz w:val="19"/>
                <w:szCs w:val="19"/>
              </w:rPr>
            </w:pPr>
            <w:r>
              <w:rPr>
                <w:rFonts w:ascii="Century Gothic" w:hAnsi="Century Gothic"/>
                <w:sz w:val="19"/>
                <w:szCs w:val="19"/>
              </w:rPr>
              <w:t>1/09/2026</w:t>
            </w:r>
          </w:p>
        </w:tc>
      </w:tr>
      <w:tr>
        <w:trPr>
          <w:trHeight w:val="58"/>
        </w:trPr>
        <w:tc>
          <w:tcPr>
            <w:tcW w:w="3256" w:type="dxa"/>
          </w:tcPr>
          <w:p>
            <w:pPr>
              <w:rPr>
                <w:rFonts w:ascii="Century Gothic" w:hAnsi="Century Gothic"/>
                <w:b/>
                <w:sz w:val="19"/>
                <w:szCs w:val="19"/>
              </w:rPr>
            </w:pPr>
            <w:r>
              <w:rPr>
                <w:rFonts w:ascii="Century Gothic" w:hAnsi="Century Gothic"/>
                <w:b/>
                <w:sz w:val="19"/>
                <w:szCs w:val="19"/>
              </w:rPr>
              <w:t>Candidatures à adresser</w:t>
            </w:r>
          </w:p>
        </w:tc>
        <w:tc>
          <w:tcPr>
            <w:tcW w:w="5806" w:type="dxa"/>
          </w:tcPr>
          <w:p>
            <w:pPr>
              <w:rPr>
                <w:rFonts w:ascii="Century Gothic" w:hAnsi="Century Gothic"/>
                <w:sz w:val="19"/>
                <w:szCs w:val="19"/>
              </w:rPr>
            </w:pPr>
            <w:r>
              <w:rPr>
                <w:rFonts w:ascii="Century Gothic" w:hAnsi="Century Gothic"/>
                <w:sz w:val="19"/>
                <w:szCs w:val="19"/>
              </w:rPr>
              <w:t>Dr CHRISTODOULOU</w:t>
            </w:r>
          </w:p>
          <w:p>
            <w:pPr>
              <w:rPr>
                <w:rFonts w:ascii="Century Gothic" w:hAnsi="Century Gothic"/>
                <w:sz w:val="19"/>
                <w:szCs w:val="19"/>
              </w:rPr>
            </w:pPr>
            <w:r>
              <w:rPr>
                <w:rFonts w:ascii="Century Gothic" w:hAnsi="Century Gothic"/>
                <w:sz w:val="19"/>
                <w:szCs w:val="19"/>
              </w:rPr>
              <w:t>Chef de pôle</w:t>
            </w:r>
          </w:p>
          <w:p>
            <w:pPr>
              <w:rPr>
                <w:rFonts w:eastAsia="Times New Roman"/>
              </w:rPr>
            </w:pPr>
            <w:hyperlink r:id="rId9" w:history="1">
              <w:r>
                <w:rPr>
                  <w:rStyle w:val="Lienhypertexte"/>
                  <w:rFonts w:eastAsia="Times New Roman"/>
                </w:rPr>
                <w:t>A.CHRISTODOULOU@ghu-paris.fr</w:t>
              </w:r>
            </w:hyperlink>
          </w:p>
          <w:p>
            <w:pPr>
              <w:rPr>
                <w:rFonts w:ascii="Century Gothic" w:hAnsi="Century Gothic"/>
                <w:sz w:val="19"/>
                <w:szCs w:val="19"/>
              </w:rPr>
            </w:pPr>
          </w:p>
        </w:tc>
      </w:tr>
    </w:tbl>
    <w:p>
      <w:pPr>
        <w:spacing w:after="0" w:line="240" w:lineRule="auto"/>
        <w:rPr>
          <w:rFonts w:ascii="Century Gothic" w:hAnsi="Century Gothic"/>
          <w:b/>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VOUS SOUHAITEZ REJOINDRE UN ACTEUR HOSPITALIER MAJEUR DANS LA PRISE EN CHARGE EN PSYCHIATRIE ET NEUROSCIENCES ? </w:t>
      </w:r>
    </w:p>
    <w:p>
      <w:pPr>
        <w:spacing w:after="0" w:line="240" w:lineRule="auto"/>
        <w:jc w:val="both"/>
        <w:rPr>
          <w:rFonts w:ascii="Century Gothic" w:hAnsi="Century Gothic"/>
          <w:color w:val="555E5E"/>
        </w:rPr>
      </w:pPr>
      <w:r>
        <w:rPr>
          <w:rFonts w:ascii="Century Gothic" w:hAnsi="Century Gothic"/>
          <w:color w:val="555E5E"/>
        </w:rPr>
        <w:t xml:space="preserve">Le </w:t>
      </w:r>
      <w:hyperlink r:id="rId10" w:history="1">
        <w:r>
          <w:rPr>
            <w:rStyle w:val="Lienhypertexte"/>
            <w:rFonts w:ascii="Century Gothic" w:hAnsi="Century Gothic"/>
            <w:color w:val="555E5E"/>
          </w:rPr>
          <w:t>Groupe Hospitalier Universitaire Paris psychiatrie &amp; neurosciences</w:t>
        </w:r>
      </w:hyperlink>
      <w:r>
        <w:rPr>
          <w:rFonts w:ascii="Century Gothic" w:hAnsi="Century Gothic"/>
          <w:color w:val="555E5E"/>
        </w:rPr>
        <w:t xml:space="preserve"> est né le 1</w:t>
      </w:r>
      <w:r>
        <w:rPr>
          <w:rFonts w:ascii="Century Gothic" w:hAnsi="Century Gothic"/>
          <w:color w:val="555E5E"/>
          <w:vertAlign w:val="superscript"/>
        </w:rPr>
        <w:t>er</w:t>
      </w:r>
      <w:r>
        <w:rPr>
          <w:rFonts w:ascii="Century Gothic" w:hAnsi="Century Gothic"/>
          <w:color w:val="555E5E"/>
        </w:rPr>
        <w:t xml:space="preserve"> janvier 2019 des rapprochements des hôpitaux Sainte-Anne, Maison Blanche et Perray-Vaucluse.  Leader dans le soin, l’enseignement et la recherche portant sur les maladies mentales et le système nerveux, le GHU Paris emploie 5600 hospitaliers répartis dans 100 sites parisiens, ainsi que des unités à dimension médico-sociale dans le 91 et le 93. </w:t>
      </w:r>
    </w:p>
    <w:p>
      <w:pPr>
        <w:spacing w:after="0" w:line="240" w:lineRule="auto"/>
        <w:jc w:val="both"/>
        <w:rPr>
          <w:rStyle w:val="Lienhypertexte"/>
          <w:rFonts w:ascii="Century Gothic" w:hAnsi="Century Gothic"/>
          <w:color w:val="555E5E"/>
          <w:u w:val="none"/>
        </w:rPr>
      </w:pPr>
      <w:r>
        <w:rPr>
          <w:rFonts w:ascii="Century Gothic" w:hAnsi="Century Gothic"/>
          <w:color w:val="555E5E"/>
        </w:rPr>
        <w:t xml:space="preserve">Le GHU Paris assure la prise en charge de proximité, de recours et de spécialité des Parisiens dans toutes les disciplines associées à la santé mentale et au cerveau au sein de 170 structures réparties dans la capitale.  </w:t>
      </w:r>
      <w:hyperlink r:id="rId11" w:history="1">
        <w:r>
          <w:rPr>
            <w:rStyle w:val="Lienhypertexte"/>
            <w:rFonts w:ascii="Century Gothic" w:hAnsi="Century Gothic"/>
          </w:rPr>
          <w:t>2 ‘ chrono pour connaître le GHU Paris en images animées </w:t>
        </w:r>
      </w:hyperlink>
    </w:p>
    <w:p>
      <w:pPr>
        <w:spacing w:after="0" w:line="240" w:lineRule="auto"/>
        <w:jc w:val="both"/>
        <w:rPr>
          <w:rStyle w:val="Lienhypertexte"/>
          <w:rFonts w:ascii="Century Gothic" w:hAnsi="Century Gothic"/>
          <w:color w:val="555E5E"/>
        </w:rPr>
      </w:pPr>
      <w:hyperlink r:id="rId12" w:history="1">
        <w:r>
          <w:rPr>
            <w:rStyle w:val="Lienhypertexte"/>
            <w:rFonts w:ascii="Century Gothic" w:hAnsi="Century Gothic"/>
          </w:rPr>
          <w:t>www.ghu-paris.fr</w:t>
        </w:r>
      </w:hyperlink>
      <w:r>
        <w:rPr>
          <w:rStyle w:val="Lienhypertexte"/>
          <w:rFonts w:ascii="Century Gothic" w:hAnsi="Century Gothic"/>
          <w:color w:val="555E5E"/>
        </w:rPr>
        <w:t xml:space="preserve"> / </w:t>
      </w:r>
      <w:proofErr w:type="spellStart"/>
      <w:r>
        <w:rPr>
          <w:rStyle w:val="Lienhypertexte"/>
          <w:rFonts w:ascii="Century Gothic" w:hAnsi="Century Gothic"/>
          <w:color w:val="555E5E"/>
        </w:rPr>
        <w:t>Linkedn</w:t>
      </w:r>
      <w:proofErr w:type="spellEnd"/>
      <w:r>
        <w:rPr>
          <w:rStyle w:val="Lienhypertexte"/>
          <w:rFonts w:ascii="Century Gothic" w:hAnsi="Century Gothic"/>
          <w:color w:val="555E5E"/>
        </w:rPr>
        <w:t xml:space="preserve"> </w:t>
      </w:r>
      <w:hyperlink r:id="rId13" w:history="1">
        <w:proofErr w:type="spellStart"/>
        <w:r>
          <w:rPr>
            <w:rStyle w:val="Lienhypertexte"/>
            <w:rFonts w:ascii="Century Gothic" w:hAnsi="Century Gothic"/>
          </w:rPr>
          <w:t>Ghu</w:t>
        </w:r>
        <w:proofErr w:type="spellEnd"/>
        <w:r>
          <w:rPr>
            <w:rStyle w:val="Lienhypertexte"/>
            <w:rFonts w:ascii="Century Gothic" w:hAnsi="Century Gothic"/>
          </w:rPr>
          <w:t xml:space="preserve"> Paris</w:t>
        </w:r>
      </w:hyperlink>
      <w:r>
        <w:rPr>
          <w:rStyle w:val="Lienhypertexte"/>
          <w:rFonts w:ascii="Century Gothic" w:hAnsi="Century Gothic"/>
          <w:color w:val="555E5E"/>
        </w:rPr>
        <w:t xml:space="preserve"> / Twitter @GhuParis</w:t>
      </w:r>
    </w:p>
    <w:p>
      <w:pPr>
        <w:spacing w:after="0" w:line="240" w:lineRule="auto"/>
        <w:jc w:val="both"/>
        <w:rPr>
          <w:rFonts w:ascii="Century Gothic" w:hAnsi="Century Gothic"/>
          <w:color w:val="555E5E"/>
        </w:rPr>
      </w:pPr>
      <w:r>
        <w:rPr>
          <w:rFonts w:ascii="Century Gothic" w:hAnsi="Century Gothic"/>
          <w:b/>
          <w:color w:val="555E5E"/>
        </w:rPr>
        <w:t>Siège</w:t>
      </w:r>
      <w:r>
        <w:rPr>
          <w:rFonts w:ascii="Century Gothic" w:hAnsi="Century Gothic"/>
          <w:color w:val="555E5E"/>
        </w:rPr>
        <w:t> : Site Sainte-Anne, 1 rue Cabanis 75014 Paris</w:t>
      </w:r>
    </w:p>
    <w:p>
      <w:pPr>
        <w:spacing w:after="0" w:line="240" w:lineRule="auto"/>
        <w:jc w:val="both"/>
        <w:rPr>
          <w:rStyle w:val="Lienhypertexte"/>
          <w:rFonts w:ascii="Century Gothic" w:hAnsi="Century Gothic"/>
          <w:color w:val="555E5E"/>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ÊTRE MEDECIN AU SEIN DU GHU PARIS</w:t>
      </w:r>
    </w:p>
    <w:p>
      <w:pPr>
        <w:spacing w:after="0" w:line="240" w:lineRule="auto"/>
        <w:jc w:val="both"/>
        <w:rPr>
          <w:rFonts w:ascii="Century Gothic" w:hAnsi="Century Gothic"/>
          <w:color w:val="555E5E"/>
        </w:rPr>
      </w:pPr>
      <w:r>
        <w:rPr>
          <w:rFonts w:ascii="Century Gothic" w:hAnsi="Century Gothic"/>
          <w:color w:val="555E5E"/>
        </w:rPr>
        <w:t xml:space="preserve">Envie d’en découvrir plus ? Vous trouverez en </w:t>
      </w:r>
      <w:hyperlink r:id="rId14" w:history="1">
        <w:r>
          <w:rPr>
            <w:rStyle w:val="Lienhypertexte"/>
            <w:rFonts w:ascii="Century Gothic" w:hAnsi="Century Gothic"/>
          </w:rPr>
          <w:t>&gt;&gt;cliquant ici&lt;&lt;</w:t>
        </w:r>
      </w:hyperlink>
      <w:r>
        <w:rPr>
          <w:rFonts w:ascii="Century Gothic" w:hAnsi="Century Gothic"/>
          <w:color w:val="555E5E"/>
        </w:rPr>
        <w:t xml:space="preserve"> les témoignages des soignants du GHU Paris. </w:t>
      </w: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sz w:val="8"/>
          <w:szCs w:val="8"/>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lastRenderedPageBreak/>
        <w:t>DESCRIPTION DU PÔLE</w:t>
      </w:r>
    </w:p>
    <w:p>
      <w:pPr>
        <w:spacing w:after="0" w:line="240" w:lineRule="auto"/>
        <w:rPr>
          <w:rFonts w:ascii="Century Gothic" w:eastAsia="Times New Roman" w:hAnsi="Century Gothic" w:cs="Times New Roman"/>
          <w:b/>
          <w:bCs/>
          <w:color w:val="008080"/>
          <w:sz w:val="20"/>
          <w:szCs w:val="20"/>
          <w:lang w:eastAsia="fr-FR"/>
        </w:rPr>
      </w:pPr>
    </w:p>
    <w:p>
      <w:pPr>
        <w:tabs>
          <w:tab w:val="center" w:pos="4536"/>
          <w:tab w:val="right" w:pos="8860"/>
        </w:tabs>
        <w:jc w:val="both"/>
        <w:rPr>
          <w:rFonts w:ascii="Century Gothic" w:hAnsi="Century Gothic"/>
          <w:sz w:val="19"/>
          <w:szCs w:val="19"/>
        </w:rPr>
      </w:pPr>
      <w:r>
        <w:rPr>
          <w:rFonts w:ascii="Century Gothic" w:hAnsi="Century Gothic"/>
          <w:sz w:val="19"/>
          <w:szCs w:val="19"/>
        </w:rPr>
        <w:t xml:space="preserve">Le pôle 75G05/06 dessert la population des 8ème et </w:t>
      </w:r>
      <w:proofErr w:type="gramStart"/>
      <w:r>
        <w:rPr>
          <w:rFonts w:ascii="Century Gothic" w:hAnsi="Century Gothic"/>
          <w:sz w:val="19"/>
          <w:szCs w:val="19"/>
        </w:rPr>
        <w:t>9ème arrondissements</w:t>
      </w:r>
      <w:proofErr w:type="gramEnd"/>
      <w:r>
        <w:rPr>
          <w:rFonts w:ascii="Century Gothic" w:hAnsi="Century Gothic"/>
          <w:sz w:val="19"/>
          <w:szCs w:val="19"/>
        </w:rPr>
        <w:t xml:space="preserve"> de Paris.</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Il est constitué :</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Centre médico-psychologique :</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CMP « Amsterdam » rue de Bucarest</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Centre de consultation de la Tour d’Auvergne, 18,20, rue de la Tour d’Auvergne, 75009, Paris</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Hospitalisation de jour :</w:t>
      </w:r>
    </w:p>
    <w:p>
      <w:pPr>
        <w:pStyle w:val="Paragraphedeliste"/>
        <w:framePr w:hSpace="141" w:wrap="around" w:vAnchor="text" w:hAnchor="text" w:y="1"/>
        <w:numPr>
          <w:ilvl w:val="1"/>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 hôpital de jour « CREHAPS », centre de réhabilitation psychosociale, sur le site de la tour d’Auvergne</w:t>
      </w:r>
    </w:p>
    <w:p>
      <w:pPr>
        <w:pStyle w:val="Paragraphedeliste"/>
        <w:framePr w:hSpace="141" w:wrap="around" w:vAnchor="text" w:hAnchor="text" w:y="1"/>
        <w:numPr>
          <w:ilvl w:val="0"/>
          <w:numId w:val="17"/>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CATTG « Les cariatides », situé 10, rue d’Abbeville, 75010 Paris</w:t>
      </w:r>
    </w:p>
    <w:p>
      <w:pPr>
        <w:framePr w:hSpace="141" w:wrap="around" w:vAnchor="text" w:hAnchor="text" w:y="1"/>
        <w:numPr>
          <w:ilvl w:val="0"/>
          <w:numId w:val="17"/>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Hospitalisation temps complet :</w:t>
      </w:r>
    </w:p>
    <w:p>
      <w:pPr>
        <w:framePr w:hSpace="141" w:wrap="around" w:vAnchor="text" w:hAnchor="text" w:y="1"/>
        <w:numPr>
          <w:ilvl w:val="0"/>
          <w:numId w:val="15"/>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2 unités d’admission ouvertes de 24 lits sur le site Henri Ey, pour la population des deux arrondissements et DIRP.</w:t>
      </w:r>
    </w:p>
    <w:p>
      <w:pPr>
        <w:framePr w:hSpace="141" w:wrap="around" w:vAnchor="text" w:hAnchor="text" w:y="1"/>
        <w:numPr>
          <w:ilvl w:val="0"/>
          <w:numId w:val="15"/>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1 unité de soins intensifs, fermée, de 10 lits sur le site Henri Ey, intersectorielle (8ème, 9ème et 10ème arrondissement).</w:t>
      </w:r>
    </w:p>
    <w:p>
      <w:pPr>
        <w:pStyle w:val="Paragraphedeliste"/>
        <w:framePr w:hSpace="141" w:wrap="around" w:vAnchor="text" w:hAnchor="text" w:y="1"/>
        <w:numPr>
          <w:ilvl w:val="0"/>
          <w:numId w:val="15"/>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1 centre d’accueil permanent, rue d’Hauteville sous la responsabilité du pôle 75G07.</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Sont rattachées au CMP Amsterdam :</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Une unité de Psychothérapies à Médiation Artistique.</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Les psychothérapies proposées sont : Inspiration analytique, TCC, EMDR.</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Education Thérapeutique.</w:t>
      </w:r>
    </w:p>
    <w:p>
      <w:pPr>
        <w:pStyle w:val="Paragraphedeliste"/>
        <w:framePr w:hSpace="141" w:wrap="around" w:vAnchor="text" w:hAnchor="text" w:y="1"/>
        <w:numPr>
          <w:ilvl w:val="0"/>
          <w:numId w:val="18"/>
        </w:numPr>
        <w:tabs>
          <w:tab w:val="center" w:pos="4536"/>
          <w:tab w:val="right" w:pos="8860"/>
        </w:tabs>
        <w:spacing w:after="0" w:line="240" w:lineRule="auto"/>
        <w:suppressOverlap/>
        <w:jc w:val="both"/>
        <w:rPr>
          <w:rFonts w:ascii="Century Gothic" w:hAnsi="Century Gothic"/>
          <w:sz w:val="19"/>
          <w:szCs w:val="19"/>
        </w:rPr>
      </w:pPr>
      <w:r>
        <w:rPr>
          <w:rFonts w:ascii="Century Gothic" w:hAnsi="Century Gothic"/>
          <w:sz w:val="19"/>
          <w:szCs w:val="19"/>
        </w:rPr>
        <w:t>Une consultation spécialisée dans les pathologies en lien avec la souffrance au travail « ETAPP ».</w:t>
      </w:r>
    </w:p>
    <w:p>
      <w:pPr>
        <w:framePr w:hSpace="141" w:wrap="around" w:vAnchor="text" w:hAnchor="text" w:y="1"/>
        <w:numPr>
          <w:ilvl w:val="0"/>
          <w:numId w:val="18"/>
        </w:numPr>
        <w:tabs>
          <w:tab w:val="center" w:pos="4536"/>
          <w:tab w:val="right" w:pos="8860"/>
        </w:tabs>
        <w:spacing w:after="0" w:line="240" w:lineRule="auto"/>
        <w:suppressOverlap/>
        <w:jc w:val="both"/>
        <w:rPr>
          <w:rFonts w:ascii="Century Gothic" w:eastAsia="Times New Roman" w:hAnsi="Century Gothic" w:cstheme="minorHAnsi"/>
          <w:sz w:val="20"/>
          <w:szCs w:val="20"/>
          <w:lang w:eastAsia="fr-FR"/>
        </w:rPr>
      </w:pPr>
      <w:r>
        <w:rPr>
          <w:rFonts w:ascii="Century Gothic" w:eastAsia="Times New Roman" w:hAnsi="Century Gothic" w:cstheme="minorHAnsi"/>
          <w:sz w:val="20"/>
          <w:szCs w:val="20"/>
          <w:lang w:eastAsia="fr-FR"/>
        </w:rPr>
        <w:t>Une équipe mobile pluriprofessionnelle avec 0,3 ETP médical dédié.</w:t>
      </w:r>
    </w:p>
    <w:p>
      <w:pPr>
        <w:framePr w:hSpace="141" w:wrap="around" w:vAnchor="text" w:hAnchor="text" w:y="1"/>
        <w:tabs>
          <w:tab w:val="center" w:pos="4536"/>
          <w:tab w:val="right" w:pos="8860"/>
        </w:tabs>
        <w:spacing w:after="0" w:line="240" w:lineRule="auto"/>
        <w:suppressOverlap/>
        <w:jc w:val="both"/>
        <w:rPr>
          <w:rFonts w:ascii="Century Gothic" w:hAnsi="Century Gothic"/>
          <w:sz w:val="19"/>
          <w:szCs w:val="19"/>
        </w:rPr>
      </w:pP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Est rattachée au Pôle :</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La plateforme de Réhabilitation Psychosociale Paris Nord, structure intersectorielle d’évaluation et de prise en charge pour les patients atteints de trouble du spectre de la schizophrénie, des troubles bipolaires, </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Le praticien interviendra principalement :</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r>
        <w:rPr>
          <w:rFonts w:ascii="Century Gothic" w:hAnsi="Century Gothic"/>
          <w:sz w:val="19"/>
          <w:szCs w:val="19"/>
        </w:rPr>
        <w:t>CMP Amsterdam.</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r>
        <w:rPr>
          <w:rFonts w:ascii="Century Gothic" w:hAnsi="Century Gothic"/>
          <w:sz w:val="19"/>
          <w:szCs w:val="19"/>
        </w:rPr>
        <w:t>L’équipe médicale est constituée de 15 PH temps plein, 1 DES, 1 externe et possibilité de stagiaires associés.</w:t>
      </w:r>
    </w:p>
    <w:p>
      <w:pPr>
        <w:framePr w:hSpace="141" w:wrap="around" w:vAnchor="text" w:hAnchor="text" w:y="1"/>
        <w:tabs>
          <w:tab w:val="center" w:pos="4536"/>
          <w:tab w:val="right" w:pos="8860"/>
        </w:tabs>
        <w:spacing w:after="0" w:line="240" w:lineRule="auto"/>
        <w:contextualSpacing/>
        <w:suppressOverlap/>
        <w:jc w:val="both"/>
        <w:rPr>
          <w:rFonts w:ascii="Century Gothic" w:hAnsi="Century Gothic"/>
          <w:sz w:val="19"/>
          <w:szCs w:val="19"/>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Caractéristiques des fonctions</w:t>
      </w:r>
    </w:p>
    <w:p>
      <w:pPr>
        <w:framePr w:hSpace="141" w:wrap="around" w:vAnchor="text" w:hAnchor="text" w:y="1"/>
        <w:tabs>
          <w:tab w:val="center" w:pos="4536"/>
          <w:tab w:val="right" w:pos="8860"/>
        </w:tabs>
        <w:suppressOverlap/>
        <w:jc w:val="both"/>
        <w:rPr>
          <w:rFonts w:ascii="Century Gothic" w:hAnsi="Century Gothic"/>
          <w:sz w:val="19"/>
          <w:szCs w:val="19"/>
        </w:rPr>
      </w:pPr>
      <w:r>
        <w:rPr>
          <w:rFonts w:eastAsia="Times New Roman" w:cstheme="minorHAnsi"/>
          <w:sz w:val="20"/>
          <w:szCs w:val="20"/>
          <w:lang w:eastAsia="fr-FR"/>
        </w:rPr>
        <w:lastRenderedPageBreak/>
        <w:t xml:space="preserve">1/ </w:t>
      </w:r>
      <w:r>
        <w:rPr>
          <w:rFonts w:ascii="Century Gothic" w:eastAsia="Times New Roman" w:hAnsi="Century Gothic" w:cstheme="minorHAnsi"/>
          <w:b/>
          <w:sz w:val="20"/>
          <w:szCs w:val="20"/>
          <w:lang w:eastAsia="fr-FR"/>
        </w:rPr>
        <w:t>Organisation de la permanence des soins</w:t>
      </w:r>
      <w:r>
        <w:rPr>
          <w:rFonts w:eastAsia="Times New Roman" w:cstheme="minorHAnsi"/>
          <w:sz w:val="20"/>
          <w:szCs w:val="20"/>
          <w:lang w:eastAsia="fr-FR"/>
        </w:rPr>
        <w:t xml:space="preserve"> : </w:t>
      </w:r>
      <w:r>
        <w:rPr>
          <w:rFonts w:ascii="Century Gothic" w:hAnsi="Century Gothic"/>
          <w:sz w:val="19"/>
          <w:szCs w:val="19"/>
        </w:rPr>
        <w:t>1 à 2 gardes par mois sur le site Henri Ey</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Participation à la continuité des soins, environ 1 samedi matin par bimestre, sur les unités d’hospitalisation du pôle sur le site H Ey ainsi qu’une astreinte sur place le mardi ou mercredi de 9H à 19H, 1 fois par bimestre pour les entrées sur le site H Ey.</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2/ </w:t>
      </w:r>
      <w:r>
        <w:rPr>
          <w:rFonts w:ascii="Century Gothic" w:hAnsi="Century Gothic"/>
          <w:b/>
          <w:sz w:val="19"/>
          <w:szCs w:val="19"/>
        </w:rPr>
        <w:t>Valences (enseignement ou recherche clinique</w:t>
      </w:r>
      <w:r>
        <w:rPr>
          <w:rFonts w:ascii="Century Gothic" w:hAnsi="Century Gothic"/>
          <w:sz w:val="19"/>
          <w:szCs w:val="19"/>
        </w:rPr>
        <w:t>)</w:t>
      </w:r>
    </w:p>
    <w:p>
      <w:pPr>
        <w:framePr w:hSpace="141" w:wrap="around" w:vAnchor="text" w:hAnchor="text" w:y="1"/>
        <w:tabs>
          <w:tab w:val="center" w:pos="4536"/>
          <w:tab w:val="right" w:pos="8860"/>
        </w:tabs>
        <w:suppressOverlap/>
        <w:jc w:val="both"/>
        <w:rPr>
          <w:rFonts w:ascii="Century Gothic" w:hAnsi="Century Gothic"/>
          <w:sz w:val="19"/>
          <w:szCs w:val="19"/>
        </w:rPr>
      </w:pPr>
      <w:r>
        <w:rPr>
          <w:rFonts w:ascii="Century Gothic" w:hAnsi="Century Gothic"/>
          <w:sz w:val="19"/>
          <w:szCs w:val="19"/>
        </w:rPr>
        <w:t xml:space="preserve">3/ </w:t>
      </w:r>
      <w:r>
        <w:rPr>
          <w:rFonts w:ascii="Century Gothic" w:hAnsi="Century Gothic"/>
          <w:b/>
          <w:sz w:val="19"/>
          <w:szCs w:val="19"/>
        </w:rPr>
        <w:t xml:space="preserve">Modalités particulières d’exercice </w:t>
      </w:r>
      <w:r>
        <w:rPr>
          <w:rFonts w:ascii="Century Gothic" w:hAnsi="Century Gothic"/>
          <w:sz w:val="19"/>
          <w:szCs w:val="19"/>
        </w:rPr>
        <w:t>(coopération engagées ou envisagées, autres)</w:t>
      </w:r>
    </w:p>
    <w:p>
      <w:pPr>
        <w:tabs>
          <w:tab w:val="center" w:pos="4536"/>
          <w:tab w:val="right" w:pos="8860"/>
        </w:tabs>
        <w:jc w:val="both"/>
        <w:rPr>
          <w:rFonts w:ascii="Century Gothic" w:hAnsi="Century Gothic"/>
          <w:sz w:val="19"/>
          <w:szCs w:val="19"/>
        </w:rPr>
      </w:pPr>
      <w:r>
        <w:rPr>
          <w:rFonts w:ascii="Century Gothic" w:hAnsi="Century Gothic"/>
          <w:sz w:val="19"/>
          <w:szCs w:val="19"/>
        </w:rPr>
        <w:t>Partenariats existants et à développer sur le territoire des 8ème et 9ème arrondissement, partenariats existants dans le cadre institutionnel du GHU, partenariat existant en interne au GHU avec les autres pôles.</w:t>
      </w:r>
    </w:p>
    <w:p>
      <w:pPr>
        <w:tabs>
          <w:tab w:val="center" w:pos="4536"/>
          <w:tab w:val="right" w:pos="8860"/>
        </w:tabs>
        <w:jc w:val="both"/>
        <w:rPr>
          <w:rFonts w:ascii="Century Gothic" w:eastAsia="Times New Roman" w:hAnsi="Century Gothic" w:cs="Times New Roman"/>
          <w:b/>
          <w:bCs/>
          <w:color w:val="008080"/>
          <w:sz w:val="20"/>
          <w:szCs w:val="20"/>
          <w:lang w:eastAsia="fr-FR"/>
        </w:rPr>
      </w:pPr>
      <w:r>
        <w:rPr>
          <w:rFonts w:ascii="Century Gothic" w:hAnsi="Century Gothic"/>
          <w:sz w:val="19"/>
          <w:szCs w:val="19"/>
        </w:rPr>
        <w:t>Temps partiel négociable.</w:t>
      </w: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Objectifs et actions</w:t>
      </w:r>
    </w:p>
    <w:p>
      <w:pPr>
        <w:spacing w:after="0" w:line="240" w:lineRule="auto"/>
        <w:rPr>
          <w:rFonts w:ascii="Century Gothic" w:eastAsia="Times New Roman" w:hAnsi="Century Gothic" w:cs="Times New Roman"/>
          <w:b/>
          <w:bCs/>
          <w:color w:val="008080"/>
          <w:sz w:val="20"/>
          <w:szCs w:val="20"/>
          <w:lang w:eastAsia="fr-FR"/>
        </w:rPr>
      </w:pPr>
    </w:p>
    <w:p>
      <w:pPr>
        <w:rPr>
          <w:rFonts w:ascii="Century Gothic" w:hAnsi="Century Gothic"/>
          <w:sz w:val="19"/>
          <w:szCs w:val="19"/>
        </w:rPr>
      </w:pPr>
      <w:r>
        <w:rPr>
          <w:rFonts w:ascii="Century Gothic" w:hAnsi="Century Gothic"/>
          <w:sz w:val="19"/>
          <w:szCs w:val="19"/>
        </w:rPr>
        <w:t>Responsabilités institutionnelles : mise en œuvre du projet de pôle au sein de l’unité fonctionnelle articulé avec le projet d’Etablissement (partenariat patient, actions de réhabilitation, démarches qualité…)</w:t>
      </w:r>
    </w:p>
    <w:p>
      <w:pPr>
        <w:rPr>
          <w:rFonts w:ascii="Century Gothic" w:hAnsi="Century Gothic"/>
          <w:sz w:val="19"/>
          <w:szCs w:val="19"/>
        </w:rPr>
      </w:pPr>
      <w:r>
        <w:rPr>
          <w:rFonts w:ascii="Century Gothic" w:hAnsi="Century Gothic"/>
          <w:sz w:val="19"/>
          <w:szCs w:val="19"/>
        </w:rPr>
        <w:t>Animation et organisation du travail en équipe</w:t>
      </w:r>
      <w:r>
        <w:rPr>
          <w:rFonts w:ascii="Century Gothic" w:hAnsi="Century Gothic"/>
          <w:sz w:val="19"/>
          <w:szCs w:val="19"/>
        </w:rPr>
        <w:t xml:space="preserve"> pluriprofessionnelle</w:t>
      </w:r>
      <w:r>
        <w:rPr>
          <w:rFonts w:ascii="Century Gothic" w:hAnsi="Century Gothic"/>
          <w:sz w:val="19"/>
          <w:szCs w:val="19"/>
        </w:rPr>
        <w:t xml:space="preserve"> en binôme avec le cadre de santé, articulation du parcours de soins, temps de réunion d’équipe…</w:t>
      </w:r>
    </w:p>
    <w:p>
      <w:pPr>
        <w:pStyle w:val="Paragraphedeliste"/>
        <w:numPr>
          <w:ilvl w:val="0"/>
          <w:numId w:val="18"/>
        </w:numPr>
        <w:jc w:val="both"/>
        <w:rPr>
          <w:rFonts w:ascii="Century Gothic" w:hAnsi="Century Gothic"/>
          <w:sz w:val="19"/>
          <w:szCs w:val="19"/>
        </w:rPr>
      </w:pPr>
      <w:r>
        <w:rPr>
          <w:rFonts w:ascii="Century Gothic" w:hAnsi="Century Gothic"/>
          <w:sz w:val="19"/>
          <w:szCs w:val="19"/>
        </w:rPr>
        <w:t>Etude des nouvelles demandes,</w:t>
      </w:r>
    </w:p>
    <w:p>
      <w:pPr>
        <w:pStyle w:val="Paragraphedeliste"/>
        <w:numPr>
          <w:ilvl w:val="0"/>
          <w:numId w:val="18"/>
        </w:numPr>
        <w:jc w:val="both"/>
        <w:rPr>
          <w:rFonts w:ascii="Century Gothic" w:hAnsi="Century Gothic"/>
          <w:sz w:val="19"/>
          <w:szCs w:val="19"/>
        </w:rPr>
      </w:pPr>
      <w:r>
        <w:rPr>
          <w:rFonts w:ascii="Century Gothic" w:hAnsi="Century Gothic"/>
          <w:sz w:val="19"/>
          <w:szCs w:val="19"/>
        </w:rPr>
        <w:t>Suivi des patients,</w:t>
      </w:r>
    </w:p>
    <w:p>
      <w:pPr>
        <w:pStyle w:val="Paragraphedeliste"/>
        <w:numPr>
          <w:ilvl w:val="0"/>
          <w:numId w:val="18"/>
        </w:numPr>
        <w:jc w:val="both"/>
        <w:rPr>
          <w:rFonts w:ascii="Century Gothic" w:hAnsi="Century Gothic"/>
          <w:sz w:val="19"/>
          <w:szCs w:val="19"/>
        </w:rPr>
      </w:pPr>
      <w:r>
        <w:rPr>
          <w:rFonts w:ascii="Century Gothic" w:hAnsi="Century Gothic"/>
          <w:sz w:val="19"/>
          <w:szCs w:val="19"/>
        </w:rPr>
        <w:t>Participation à la réunion de coordination,</w:t>
      </w:r>
    </w:p>
    <w:p>
      <w:pPr>
        <w:pStyle w:val="Paragraphedeliste"/>
        <w:numPr>
          <w:ilvl w:val="0"/>
          <w:numId w:val="18"/>
        </w:numPr>
        <w:jc w:val="both"/>
        <w:rPr>
          <w:rFonts w:ascii="Century Gothic" w:hAnsi="Century Gothic"/>
          <w:sz w:val="19"/>
          <w:szCs w:val="19"/>
        </w:rPr>
      </w:pPr>
      <w:r>
        <w:rPr>
          <w:rFonts w:ascii="Century Gothic" w:hAnsi="Century Gothic"/>
          <w:sz w:val="19"/>
          <w:szCs w:val="19"/>
        </w:rPr>
        <w:t>Développement de projets…</w:t>
      </w:r>
    </w:p>
    <w:p>
      <w:pPr>
        <w:spacing w:after="0" w:line="240" w:lineRule="auto"/>
        <w:rPr>
          <w:rFonts w:ascii="Century Gothic" w:eastAsia="Times New Roman" w:hAnsi="Century Gothic" w:cs="Times New Roman"/>
          <w:sz w:val="18"/>
          <w:szCs w:val="18"/>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Moyens mis en œuvres pour réaliser les objectifs</w:t>
      </w:r>
    </w:p>
    <w:p>
      <w:pPr>
        <w:spacing w:after="0" w:line="240" w:lineRule="auto"/>
        <w:rPr>
          <w:rFonts w:ascii="Century Gothic" w:eastAsia="Times New Roman" w:hAnsi="Century Gothic" w:cs="Times New Roman"/>
          <w:b/>
          <w:bCs/>
          <w:color w:val="008080"/>
          <w:sz w:val="20"/>
          <w:szCs w:val="20"/>
          <w:lang w:eastAsia="fr-FR"/>
        </w:rPr>
      </w:pPr>
    </w:p>
    <w:p>
      <w:pPr>
        <w:rPr>
          <w:rFonts w:ascii="Century Gothic" w:hAnsi="Century Gothic"/>
          <w:sz w:val="19"/>
          <w:szCs w:val="19"/>
        </w:rPr>
      </w:pPr>
      <w:r>
        <w:rPr>
          <w:rFonts w:ascii="Century Gothic" w:hAnsi="Century Gothic"/>
          <w:sz w:val="19"/>
          <w:szCs w:val="19"/>
        </w:rPr>
        <w:t>L’équipe pluriprofessionnelle du CMP est constituée : IDE, AS, assistants socio-éducatifs, rééducateurs, 2,5 ETP psychologues, MSP, APA, secrétaires, 3,3 ETP psychiatres</w:t>
      </w:r>
    </w:p>
    <w:p>
      <w:pPr>
        <w:rPr>
          <w:rFonts w:ascii="Century Gothic" w:hAnsi="Century Gothic"/>
          <w:sz w:val="19"/>
          <w:szCs w:val="19"/>
        </w:rPr>
      </w:pPr>
      <w:r>
        <w:rPr>
          <w:rFonts w:ascii="Century Gothic" w:hAnsi="Century Gothic"/>
          <w:sz w:val="19"/>
          <w:szCs w:val="19"/>
        </w:rPr>
        <w:t>Le praticien peut aisément s’appuyer sur les différentes structures du pôle pour faciliter le parcours et les soins du patient (CATTP à proximité, CREHAPS, plateforme d’évaluation et réhabilitation paris Nord), unités d’hospitalisation, équipe mobile.</w:t>
      </w:r>
    </w:p>
    <w:p>
      <w:pPr>
        <w:rPr>
          <w:rFonts w:ascii="Century Gothic" w:hAnsi="Century Gothic"/>
          <w:sz w:val="19"/>
          <w:szCs w:val="19"/>
        </w:rPr>
      </w:pPr>
      <w:r>
        <w:rPr>
          <w:rFonts w:ascii="Century Gothic" w:hAnsi="Century Gothic"/>
          <w:sz w:val="19"/>
          <w:szCs w:val="19"/>
        </w:rPr>
        <w:t>Réunion de coordination au CMP, réunion hebdomadaire interne à l’unité fonctionnelle.</w:t>
      </w:r>
    </w:p>
    <w:p>
      <w:pPr>
        <w:rPr>
          <w:rFonts w:ascii="Century Gothic" w:hAnsi="Century Gothic"/>
          <w:sz w:val="19"/>
          <w:szCs w:val="19"/>
        </w:rPr>
      </w:pPr>
      <w:r>
        <w:rPr>
          <w:rFonts w:ascii="Century Gothic" w:hAnsi="Century Gothic"/>
          <w:sz w:val="19"/>
          <w:szCs w:val="19"/>
        </w:rPr>
        <w:t>DPC, accès aux bases de données du GHU.</w:t>
      </w:r>
    </w:p>
    <w:p>
      <w:pPr>
        <w:rPr>
          <w:rFonts w:ascii="Century Gothic" w:hAnsi="Century Gothic"/>
          <w:sz w:val="19"/>
          <w:szCs w:val="19"/>
        </w:rPr>
      </w:pPr>
      <w:r>
        <w:rPr>
          <w:rFonts w:ascii="Century Gothic" w:hAnsi="Century Gothic"/>
          <w:sz w:val="19"/>
          <w:szCs w:val="19"/>
        </w:rPr>
        <w:t>Possibilité d’intégrer les groupes de travail du GHU.</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 xml:space="preserve">PROFIL </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Psychiatrie générale, intérêt pour la psychiatrie de secteur.</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b/>
          <w:bCs/>
          <w:color w:val="008080"/>
          <w:sz w:val="20"/>
          <w:szCs w:val="20"/>
          <w:lang w:eastAsia="fr-FR"/>
        </w:rPr>
      </w:pPr>
      <w:r>
        <w:rPr>
          <w:rFonts w:ascii="Century Gothic" w:eastAsia="Times New Roman" w:hAnsi="Century Gothic" w:cs="Times New Roman"/>
          <w:b/>
          <w:bCs/>
          <w:color w:val="008080"/>
          <w:sz w:val="20"/>
          <w:szCs w:val="20"/>
          <w:lang w:eastAsia="fr-FR"/>
        </w:rPr>
        <w:t>CONTACT</w:t>
      </w:r>
    </w:p>
    <w:p>
      <w:pPr>
        <w:spacing w:after="0" w:line="240" w:lineRule="auto"/>
        <w:rPr>
          <w:rFonts w:ascii="Century Gothic" w:eastAsia="Times New Roman" w:hAnsi="Century Gothic" w:cs="Times New Roman"/>
          <w:b/>
          <w:bCs/>
          <w:color w:val="008080"/>
          <w:sz w:val="20"/>
          <w:szCs w:val="20"/>
          <w:lang w:eastAsia="fr-FR"/>
        </w:rPr>
      </w:pP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Dr Alexandre CHRISTODOULOU</w:t>
      </w:r>
    </w:p>
    <w:p>
      <w:pPr>
        <w:spacing w:after="0" w:line="240" w:lineRule="auto"/>
        <w:rPr>
          <w:rFonts w:ascii="Century Gothic" w:eastAsia="Times New Roman" w:hAnsi="Century Gothic" w:cs="Times New Roman"/>
          <w:sz w:val="19"/>
          <w:szCs w:val="19"/>
          <w:lang w:eastAsia="fr-FR"/>
        </w:rPr>
      </w:pPr>
      <w:r>
        <w:rPr>
          <w:rFonts w:ascii="Century Gothic" w:eastAsia="Times New Roman" w:hAnsi="Century Gothic" w:cs="Times New Roman"/>
          <w:sz w:val="19"/>
          <w:szCs w:val="19"/>
          <w:lang w:eastAsia="fr-FR"/>
        </w:rPr>
        <w:t>Chef de pôle du 75G05-06</w:t>
      </w:r>
    </w:p>
    <w:p>
      <w:pPr>
        <w:spacing w:after="0" w:line="240" w:lineRule="auto"/>
        <w:rPr>
          <w:rFonts w:eastAsia="Times New Roman"/>
          <w:sz w:val="19"/>
          <w:szCs w:val="19"/>
        </w:rPr>
      </w:pPr>
      <w:hyperlink r:id="rId15" w:history="1">
        <w:r>
          <w:rPr>
            <w:rStyle w:val="Lienhypertexte"/>
            <w:rFonts w:eastAsia="Times New Roman"/>
            <w:sz w:val="19"/>
            <w:szCs w:val="19"/>
          </w:rPr>
          <w:t>A.CHRISTODOULOU@ghu-paris.fr</w:t>
        </w:r>
      </w:hyperlink>
    </w:p>
    <w:p>
      <w:pPr>
        <w:spacing w:after="0" w:line="240" w:lineRule="auto"/>
        <w:rPr>
          <w:rFonts w:ascii="Century Gothic" w:hAnsi="Century Gothic"/>
          <w:sz w:val="19"/>
          <w:szCs w:val="19"/>
        </w:rPr>
      </w:pPr>
      <w:r>
        <w:rPr>
          <w:rFonts w:ascii="Century Gothic" w:hAnsi="Century Gothic"/>
          <w:sz w:val="19"/>
          <w:szCs w:val="19"/>
        </w:rPr>
        <w:t>Tel : 06 89 34 13 73</w:t>
      </w:r>
    </w:p>
    <w:sectPr>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rPr>
        <w:noProof/>
        <w:lang w:eastAsia="fr-FR"/>
      </w:rPr>
      <w:drawing>
        <wp:anchor distT="0" distB="0" distL="114300" distR="114300" simplePos="0" relativeHeight="251664384" behindDoc="0" locked="0" layoutInCell="1" allowOverlap="1">
          <wp:simplePos x="0" y="0"/>
          <wp:positionH relativeFrom="margin">
            <wp:align>center</wp:align>
          </wp:positionH>
          <wp:positionV relativeFrom="paragraph">
            <wp:posOffset>51435</wp:posOffset>
          </wp:positionV>
          <wp:extent cx="6405843" cy="1057275"/>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1739" t="45698" r="54200" b="37227"/>
                  <a:stretch/>
                </pic:blipFill>
                <pic:spPr bwMode="auto">
                  <a:xfrm>
                    <a:off x="0" y="0"/>
                    <a:ext cx="6405843"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noProof/>
        <w:lang w:eastAsia="fr-FR"/>
      </w:rPr>
      <w:drawing>
        <wp:anchor distT="0" distB="0" distL="114300" distR="114300" simplePos="0" relativeHeight="251662336" behindDoc="0" locked="0" layoutInCell="1" allowOverlap="1">
          <wp:simplePos x="0" y="0"/>
          <wp:positionH relativeFrom="margin">
            <wp:posOffset>-434340</wp:posOffset>
          </wp:positionH>
          <wp:positionV relativeFrom="paragraph">
            <wp:posOffset>-247650</wp:posOffset>
          </wp:positionV>
          <wp:extent cx="6699584" cy="247650"/>
          <wp:effectExtent l="0" t="0" r="6350" b="0"/>
          <wp:wrapSquare wrapText="bothSides"/>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699584" cy="247650"/>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r>
      <w:rPr>
        <w:noProof/>
        <w:lang w:eastAsia="fr-FR"/>
      </w:rPr>
      <mc:AlternateContent>
        <mc:Choice Requires="wps">
          <w:drawing>
            <wp:anchor distT="45720" distB="45720" distL="114300" distR="114300" simplePos="0" relativeHeight="251660288" behindDoc="0" locked="0" layoutInCell="1" allowOverlap="1">
              <wp:simplePos x="0" y="0"/>
              <wp:positionH relativeFrom="column">
                <wp:posOffset>2979420</wp:posOffset>
              </wp:positionH>
              <wp:positionV relativeFrom="paragraph">
                <wp:posOffset>13335</wp:posOffset>
              </wp:positionV>
              <wp:extent cx="2360930" cy="739140"/>
              <wp:effectExtent l="0" t="0" r="0" b="381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9140"/>
                      </a:xfrm>
                      <a:prstGeom prst="rect">
                        <a:avLst/>
                      </a:prstGeom>
                      <a:solidFill>
                        <a:srgbClr val="FFFFFF"/>
                      </a:solidFill>
                      <a:ln w="9525">
                        <a:noFill/>
                        <a:miter lim="800000"/>
                        <a:headEnd/>
                        <a:tailEnd/>
                      </a:ln>
                    </wps:spPr>
                    <wps:txb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3"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4.6pt;margin-top:1.05pt;width:185.9pt;height:58.2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o7JQIAACIEAAAOAAAAZHJzL2Uyb0RvYy54bWysU02P2yAQvVfqf0DcGzvOZrOx4qy22aaq&#10;tP2Qtr30hgHHqJihQGJnf30HnM1G21tVHxDjGR5v3jxWt0OnyUE6r8BUdDrJKZGGg1BmV9Ef37fv&#10;bijxgRnBNBhZ0aP09Hb99s2qt6UsoAUtpCMIYnzZ24q2IdgyyzxvZcf8BKw0mGzAdSxg6HaZcKxH&#10;9E5nRZ5fZz04YR1w6T3+vR+TdJ3wm0by8LVpvAxEVxS5hbS6tNZxzdYrVu4cs63iJxrsH1h0TBm8&#10;9Ax1zwIje6f+guoUd+ChCRMOXQZNo7hMPWA30/xVN48tszL1guJ4e5bJ/z9Y/uXwzRElKlpMF5QY&#10;1uGQfuKoiJAkyCFIUkSReutLrH20WB2G9zDgsFPD3j4A/+WJgU3LzE7eOQd9K5lAktN4Mrs4OuL4&#10;CFL3n0HgXWwfIAENjeuigqgJQXQc1vE8IORBOP4sZtf5coYpjrnFbDm9ShPMWPl82jofPkroSNxU&#10;1KEBEjo7PPgQ2bDyuSRe5kErsVVap8Dt6o125MDQLNv0pQZelWlD+oou58U8IRuI55OPOhXQzFp1&#10;Fb3J4zfaK6rxwYhUEpjS4x6ZaHOSJyoyahOGesDCqFkN4ohCORhNi48MNy24J0p6NGxF/e89c5IS&#10;/cmg2CgGqkFCCq7miwIDd5mpLzPMcISqaKBk3G5CehVRBwN3OJRGJb1emJy4ohGTjKdHE51+Gaeq&#10;l6e9/gMAAP//AwBQSwMEFAAGAAgAAAAhAOYnJKXdAAAACQEAAA8AAABkcnMvZG93bnJldi54bWxM&#10;j91OhDAQhe9NfIdmTLxzS8m6IlI2xoRowtWuPkCB4SfQKaFdFt/e8UovJ+fLme9kx81OYsXFD440&#10;qF0EAql2zUCdhq/P4iEB4YOhxkyOUMM3ejjmtzeZSRt3pROu59AJLiGfGg19CHMqpa97tMbv3IzE&#10;WesWawKfSyebxVy53E4yjqKDtGYg/tCbGd96rMfzxWr4KOuijUvbrmFUdixP1XvRPml9f7e9voAI&#10;uIU/GH71WR1ydqrchRovJg37w3PMqIZYgeA82SveVjGokkeQeSb/L8h/AAAA//8DAFBLAQItABQA&#10;BgAIAAAAIQC2gziS/gAAAOEBAAATAAAAAAAAAAAAAAAAAAAAAABbQ29udGVudF9UeXBlc10ueG1s&#10;UEsBAi0AFAAGAAgAAAAhADj9If/WAAAAlAEAAAsAAAAAAAAAAAAAAAAALwEAAF9yZWxzLy5yZWxz&#10;UEsBAi0AFAAGAAgAAAAhAAdlGjslAgAAIgQAAA4AAAAAAAAAAAAAAAAALgIAAGRycy9lMm9Eb2Mu&#10;eG1sUEsBAi0AFAAGAAgAAAAhAOYnJKXdAAAACQEAAA8AAAAAAAAAAAAAAAAAfwQAAGRycy9kb3du&#10;cmV2LnhtbFBLBQYAAAAABAAEAPMAAACJBQAAAAA=&#10;" stroked="f">
              <v:textbox>
                <w:txbxContent>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GHU Paris psychiatrie &amp; neurosciences</w:t>
                    </w:r>
                  </w:p>
                  <w:p>
                    <w:pPr>
                      <w:spacing w:after="0" w:line="240" w:lineRule="auto"/>
                      <w:rPr>
                        <w:rFonts w:ascii="Century Gothic" w:hAnsi="Century Gothic"/>
                        <w:color w:val="A6A6A6" w:themeColor="background1" w:themeShade="A6"/>
                        <w:sz w:val="16"/>
                      </w:rPr>
                    </w:pPr>
                    <w:r>
                      <w:rPr>
                        <w:rFonts w:ascii="Century Gothic" w:hAnsi="Century Gothic"/>
                        <w:color w:val="A6A6A6" w:themeColor="background1" w:themeShade="A6"/>
                        <w:sz w:val="16"/>
                      </w:rPr>
                      <w:t>1 rue Cabanis, 75014 Paris</w:t>
                    </w:r>
                  </w:p>
                  <w:p>
                    <w:pPr>
                      <w:spacing w:after="0" w:line="240" w:lineRule="auto"/>
                      <w:rPr>
                        <w:rFonts w:ascii="Century Gothic" w:hAnsi="Century Gothic"/>
                        <w:color w:val="A6A6A6" w:themeColor="background1" w:themeShade="A6"/>
                        <w:sz w:val="16"/>
                      </w:rPr>
                    </w:pPr>
                    <w:hyperlink r:id="rId4" w:history="1">
                      <w:r>
                        <w:rPr>
                          <w:rStyle w:val="Lienhypertexte"/>
                          <w:rFonts w:ascii="Century Gothic" w:hAnsi="Century Gothic"/>
                          <w:sz w:val="16"/>
                        </w:rPr>
                        <w:t>www.ghu-paris.fr</w:t>
                      </w:r>
                    </w:hyperlink>
                    <w:r>
                      <w:rPr>
                        <w:rFonts w:ascii="Century Gothic" w:hAnsi="Century Gothic"/>
                        <w:color w:val="A6A6A6" w:themeColor="background1" w:themeShade="A6"/>
                        <w:sz w:val="16"/>
                      </w:rPr>
                      <w:t xml:space="preserve"> </w:t>
                    </w: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p>
                  <w:p>
                    <w:pPr>
                      <w:rPr>
                        <w:rFonts w:ascii="Century Gothic" w:hAnsi="Century Gothic"/>
                        <w:color w:val="A6A6A6" w:themeColor="background1" w:themeShade="A6"/>
                        <w:sz w:val="16"/>
                      </w:rPr>
                    </w:pPr>
                    <w:r>
                      <w:rPr>
                        <w:rFonts w:ascii="Century Gothic" w:hAnsi="Century Gothic"/>
                        <w:color w:val="A6A6A6" w:themeColor="background1" w:themeShade="A6"/>
                        <w:sz w:val="16"/>
                      </w:rPr>
                      <w:br/>
                      <w:t xml:space="preserve"> </w:t>
                    </w:r>
                  </w:p>
                  <w:p>
                    <w:pPr>
                      <w:rPr>
                        <w:rFonts w:ascii="Century Gothic" w:hAnsi="Century Gothic"/>
                        <w:color w:val="A6A6A6" w:themeColor="background1" w:themeShade="A6"/>
                        <w:sz w:val="16"/>
                      </w:rPr>
                    </w:pPr>
                    <w:r>
                      <w:rPr>
                        <w:rFonts w:ascii="Century Gothic" w:hAnsi="Century Gothic"/>
                        <w:color w:val="A6A6A6" w:themeColor="background1" w:themeShade="A6"/>
                        <w:sz w:val="16"/>
                      </w:rPr>
                      <w:t>1</w:t>
                    </w:r>
                  </w:p>
                </w:txbxContent>
              </v:textbox>
              <w10:wrap type="square"/>
            </v:shape>
          </w:pict>
        </mc:Fallback>
      </mc:AlternateContent>
    </w:r>
    <w:r>
      <w:rPr>
        <w:rFonts w:ascii="Century Gothic" w:hAnsi="Century Gothic"/>
        <w:caps/>
        <w:noProof/>
        <w:color w:val="404040" w:themeColor="text1" w:themeTint="BF"/>
        <w:sz w:val="32"/>
        <w:lang w:eastAsia="fr-FR"/>
      </w:rPr>
      <w:drawing>
        <wp:anchor distT="0" distB="0" distL="114300" distR="114300" simplePos="0" relativeHeight="251659264" behindDoc="1" locked="0" layoutInCell="1" allowOverlap="1">
          <wp:simplePos x="0" y="0"/>
          <wp:positionH relativeFrom="column">
            <wp:posOffset>1566545</wp:posOffset>
          </wp:positionH>
          <wp:positionV relativeFrom="paragraph">
            <wp:posOffset>36830</wp:posOffset>
          </wp:positionV>
          <wp:extent cx="1335405" cy="380365"/>
          <wp:effectExtent l="0" t="0" r="0" b="635"/>
          <wp:wrapTight wrapText="bothSides">
            <wp:wrapPolygon edited="0">
              <wp:start x="2773" y="0"/>
              <wp:lineTo x="1233" y="2164"/>
              <wp:lineTo x="0" y="9736"/>
              <wp:lineTo x="0" y="20554"/>
              <wp:lineTo x="3081" y="20554"/>
              <wp:lineTo x="21261" y="20554"/>
              <wp:lineTo x="21261" y="0"/>
              <wp:lineTo x="2773" y="0"/>
            </wp:wrapPolygon>
          </wp:wrapT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logo gh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405" cy="380365"/>
                  </a:xfrm>
                  <a:prstGeom prst="rect">
                    <a:avLst/>
                  </a:prstGeom>
                </pic:spPr>
              </pic:pic>
            </a:graphicData>
          </a:graphic>
          <wp14:sizeRelH relativeFrom="page">
            <wp14:pctWidth>0</wp14:pctWidth>
          </wp14:sizeRelH>
          <wp14:sizeRelV relativeFrom="page">
            <wp14:pctHeight>0</wp14:pctHeight>
          </wp14:sizeRelV>
        </wp:anchor>
      </w:drawing>
    </w: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346"/>
    <w:multiLevelType w:val="multilevel"/>
    <w:tmpl w:val="1550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A4E71"/>
    <w:multiLevelType w:val="multilevel"/>
    <w:tmpl w:val="0AEE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07507"/>
    <w:multiLevelType w:val="hybridMultilevel"/>
    <w:tmpl w:val="B134C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D1348C"/>
    <w:multiLevelType w:val="multilevel"/>
    <w:tmpl w:val="1768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36BEC"/>
    <w:multiLevelType w:val="multilevel"/>
    <w:tmpl w:val="DE7E04CE"/>
    <w:lvl w:ilvl="0">
      <w:start w:val="1"/>
      <w:numFmt w:val="decimal"/>
      <w:lvlText w:val="%1-"/>
      <w:lvlJc w:val="left"/>
      <w:pPr>
        <w:ind w:left="360" w:hanging="360"/>
      </w:pPr>
      <w:rPr>
        <w:rFonts w:hint="default"/>
      </w:rPr>
    </w:lvl>
    <w:lvl w:ilvl="1">
      <w:numFmt w:val="bullet"/>
      <w:lvlText w:val="-"/>
      <w:lvlJc w:val="left"/>
      <w:pPr>
        <w:ind w:left="720" w:hanging="360"/>
      </w:pPr>
      <w:rPr>
        <w:rFonts w:ascii="Garamond" w:eastAsiaTheme="minorHAnsi" w:hAnsi="Garamond" w:cstheme="minorBid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D755C7"/>
    <w:multiLevelType w:val="hybridMultilevel"/>
    <w:tmpl w:val="0518A20C"/>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7A5B4D"/>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56EEC"/>
    <w:multiLevelType w:val="hybridMultilevel"/>
    <w:tmpl w:val="6AE8E53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776C5"/>
    <w:multiLevelType w:val="hybridMultilevel"/>
    <w:tmpl w:val="E898CB8E"/>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DB12A0"/>
    <w:multiLevelType w:val="hybridMultilevel"/>
    <w:tmpl w:val="C28647E2"/>
    <w:lvl w:ilvl="0" w:tplc="4CB8A314">
      <w:start w:val="2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374CF6"/>
    <w:multiLevelType w:val="multilevel"/>
    <w:tmpl w:val="8688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C6FC5"/>
    <w:multiLevelType w:val="hybridMultilevel"/>
    <w:tmpl w:val="3788CF52"/>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7D0E10"/>
    <w:multiLevelType w:val="hybridMultilevel"/>
    <w:tmpl w:val="FDEE3DA8"/>
    <w:lvl w:ilvl="0" w:tplc="87FC56B2">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D134A"/>
    <w:multiLevelType w:val="multilevel"/>
    <w:tmpl w:val="855C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74393"/>
    <w:multiLevelType w:val="hybridMultilevel"/>
    <w:tmpl w:val="AC720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AD0131"/>
    <w:multiLevelType w:val="hybridMultilevel"/>
    <w:tmpl w:val="C478B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810479"/>
    <w:multiLevelType w:val="hybridMultilevel"/>
    <w:tmpl w:val="FC980EFE"/>
    <w:lvl w:ilvl="0" w:tplc="040C0001">
      <w:start w:val="1"/>
      <w:numFmt w:val="bullet"/>
      <w:lvlText w:val=""/>
      <w:lvlJc w:val="left"/>
      <w:pPr>
        <w:ind w:left="915" w:hanging="360"/>
      </w:pPr>
      <w:rPr>
        <w:rFonts w:ascii="Symbol" w:hAnsi="Symbol" w:hint="default"/>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17" w15:restartNumberingAfterBreak="0">
    <w:nsid w:val="55F44750"/>
    <w:multiLevelType w:val="hybridMultilevel"/>
    <w:tmpl w:val="4AD2EDF0"/>
    <w:lvl w:ilvl="0" w:tplc="8B62C6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38A78FD"/>
    <w:multiLevelType w:val="multilevel"/>
    <w:tmpl w:val="94E6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7B0014"/>
    <w:multiLevelType w:val="hybridMultilevel"/>
    <w:tmpl w:val="60E6C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863BE5"/>
    <w:multiLevelType w:val="multilevel"/>
    <w:tmpl w:val="DB80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8"/>
  </w:num>
  <w:num w:numId="4">
    <w:abstractNumId w:val="1"/>
  </w:num>
  <w:num w:numId="5">
    <w:abstractNumId w:val="0"/>
  </w:num>
  <w:num w:numId="6">
    <w:abstractNumId w:val="3"/>
  </w:num>
  <w:num w:numId="7">
    <w:abstractNumId w:val="10"/>
  </w:num>
  <w:num w:numId="8">
    <w:abstractNumId w:val="6"/>
  </w:num>
  <w:num w:numId="9">
    <w:abstractNumId w:val="15"/>
  </w:num>
  <w:num w:numId="10">
    <w:abstractNumId w:val="14"/>
  </w:num>
  <w:num w:numId="11">
    <w:abstractNumId w:val="2"/>
  </w:num>
  <w:num w:numId="12">
    <w:abstractNumId w:val="19"/>
  </w:num>
  <w:num w:numId="13">
    <w:abstractNumId w:val="16"/>
  </w:num>
  <w:num w:numId="14">
    <w:abstractNumId w:val="9"/>
  </w:num>
  <w:num w:numId="15">
    <w:abstractNumId w:val="8"/>
  </w:num>
  <w:num w:numId="16">
    <w:abstractNumId w:val="11"/>
  </w:num>
  <w:num w:numId="17">
    <w:abstractNumId w:val="4"/>
  </w:num>
  <w:num w:numId="18">
    <w:abstractNumId w:val="1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E2A451-F40C-40B2-A178-A674F91F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u w:val="single"/>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Lienhypertextesuivivisit">
    <w:name w:val="FollowedHyperlink"/>
    <w:basedOn w:val="Policepardfaut"/>
    <w:uiPriority w:val="99"/>
    <w:semiHidden/>
    <w:unhideWhenUsed/>
    <w:rPr>
      <w:color w:val="954F72" w:themeColor="followedHyperlink"/>
      <w:u w:val="single"/>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12022">
      <w:bodyDiv w:val="1"/>
      <w:marLeft w:val="0"/>
      <w:marRight w:val="0"/>
      <w:marTop w:val="0"/>
      <w:marBottom w:val="0"/>
      <w:divBdr>
        <w:top w:val="none" w:sz="0" w:space="0" w:color="auto"/>
        <w:left w:val="none" w:sz="0" w:space="0" w:color="auto"/>
        <w:bottom w:val="none" w:sz="0" w:space="0" w:color="auto"/>
        <w:right w:val="none" w:sz="0" w:space="0" w:color="auto"/>
      </w:divBdr>
    </w:div>
    <w:div w:id="159312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ghu-par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hu-paris.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meo.com/307689792" TargetMode="External"/><Relationship Id="rId5" Type="http://schemas.openxmlformats.org/officeDocument/2006/relationships/webSettings" Target="webSettings.xml"/><Relationship Id="rId15" Type="http://schemas.openxmlformats.org/officeDocument/2006/relationships/hyperlink" Target="mailto:A.CHRISTODOULOU@ghu-paris.fr" TargetMode="External"/><Relationship Id="rId10" Type="http://schemas.openxmlformats.org/officeDocument/2006/relationships/hyperlink" Target="http://www.ghu-paris.fr/fr/2019-ght-devient-ghu-paris/" TargetMode="External"/><Relationship Id="rId4" Type="http://schemas.openxmlformats.org/officeDocument/2006/relationships/settings" Target="settings.xml"/><Relationship Id="rId9" Type="http://schemas.openxmlformats.org/officeDocument/2006/relationships/hyperlink" Target="mailto:A.CHRISTODOULOU@ghu-paris.fr" TargetMode="External"/><Relationship Id="rId14" Type="http://schemas.openxmlformats.org/officeDocument/2006/relationships/hyperlink" Target="https://www.ghu-paris.fr/fr/actualites/etre-medecin-au-ghu-paris-vide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hu-paris.fr"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hyperlink" Target="http://www.ghu-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B9971-FF11-417C-831B-C0FB4D4FD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876</Words>
  <Characters>4821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CHSA</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SABIN Sophie</dc:creator>
  <cp:lastModifiedBy>CHRISTODOULOU Alexandre</cp:lastModifiedBy>
  <cp:revision>2</cp:revision>
  <cp:lastPrinted>2018-03-21T10:31:00Z</cp:lastPrinted>
  <dcterms:created xsi:type="dcterms:W3CDTF">2026-07-16T11:35:00Z</dcterms:created>
  <dcterms:modified xsi:type="dcterms:W3CDTF">2026-07-16T11:35:00Z</dcterms:modified>
</cp:coreProperties>
</file>