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Century Gothic" w:hAnsi="Century Gothic"/>
          <w:b/>
        </w:rPr>
      </w:pPr>
      <w:r>
        <w:rPr>
          <w:rFonts w:ascii="Century Gothic" w:hAnsi="Century Gothic"/>
          <w:b/>
          <w:noProof/>
          <w:lang w:eastAsia="fr-FR"/>
        </w:rPr>
        <w:drawing>
          <wp:anchor distT="0" distB="0" distL="114300" distR="114300" simplePos="0" relativeHeight="251658240" behindDoc="0" locked="0" layoutInCell="1" allowOverlap="1">
            <wp:simplePos x="0" y="0"/>
            <wp:positionH relativeFrom="margin">
              <wp:posOffset>4233577</wp:posOffset>
            </wp:positionH>
            <wp:positionV relativeFrom="paragraph">
              <wp:posOffset>562</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color w:val="008080"/>
        </w:rPr>
      </w:pPr>
      <w:r>
        <w:rPr>
          <w:rFonts w:ascii="Century Gothic" w:hAnsi="Century Gothic"/>
          <w:b/>
          <w:color w:val="008080"/>
        </w:rPr>
        <w:t xml:space="preserve">PRATICIEN HOSPITALIER /NPC - Psychiatrie Générale au </w:t>
      </w:r>
    </w:p>
    <w:p>
      <w:pPr>
        <w:spacing w:after="0" w:line="240" w:lineRule="auto"/>
        <w:jc w:val="center"/>
        <w:rPr>
          <w:rFonts w:ascii="Century Gothic" w:hAnsi="Century Gothic"/>
          <w:b/>
          <w:color w:val="008080"/>
        </w:rPr>
      </w:pPr>
      <w:r>
        <w:rPr>
          <w:rFonts w:ascii="Century Gothic" w:hAnsi="Century Gothic"/>
          <w:b/>
          <w:color w:val="008080"/>
        </w:rPr>
        <w:t xml:space="preserve"> CMP Amsterdam – Pôle 75G05/06</w:t>
      </w:r>
    </w:p>
    <w:p>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tc>
          <w:tcPr>
            <w:tcW w:w="3256" w:type="dxa"/>
          </w:tcPr>
          <w:p>
            <w:pPr>
              <w:rPr>
                <w:rFonts w:ascii="Century Gothic" w:hAnsi="Century Gothic"/>
                <w:b/>
                <w:sz w:val="19"/>
                <w:szCs w:val="19"/>
              </w:rPr>
            </w:pPr>
            <w:r>
              <w:rPr>
                <w:rFonts w:ascii="Century Gothic" w:hAnsi="Century Gothic"/>
                <w:b/>
                <w:sz w:val="19"/>
                <w:szCs w:val="19"/>
              </w:rPr>
              <w:t xml:space="preserve">Statut </w:t>
            </w:r>
          </w:p>
        </w:tc>
        <w:tc>
          <w:tcPr>
            <w:tcW w:w="5806" w:type="dxa"/>
          </w:tcPr>
          <w:p>
            <w:pPr>
              <w:rPr>
                <w:rFonts w:ascii="Century Gothic" w:hAnsi="Century Gothic"/>
                <w:sz w:val="19"/>
                <w:szCs w:val="19"/>
              </w:rPr>
            </w:pPr>
            <w:r>
              <w:rPr>
                <w:rFonts w:ascii="Century Gothic" w:hAnsi="Century Gothic"/>
                <w:sz w:val="19"/>
                <w:szCs w:val="19"/>
              </w:rPr>
              <w:t>PRATICIEN HOSPITALIER /NPC</w:t>
            </w:r>
          </w:p>
        </w:tc>
      </w:tr>
      <w:tr>
        <w:tc>
          <w:tcPr>
            <w:tcW w:w="3256" w:type="dxa"/>
          </w:tcPr>
          <w:p>
            <w:pPr>
              <w:rPr>
                <w:rFonts w:ascii="Century Gothic" w:hAnsi="Century Gothic"/>
                <w:b/>
                <w:sz w:val="19"/>
                <w:szCs w:val="19"/>
              </w:rPr>
            </w:pPr>
            <w:r>
              <w:rPr>
                <w:rFonts w:ascii="Century Gothic" w:hAnsi="Century Gothic"/>
                <w:b/>
                <w:sz w:val="19"/>
                <w:szCs w:val="19"/>
              </w:rPr>
              <w:t>Intitulé du poste</w:t>
            </w:r>
          </w:p>
        </w:tc>
        <w:tc>
          <w:tcPr>
            <w:tcW w:w="5806" w:type="dxa"/>
          </w:tcPr>
          <w:p>
            <w:pPr>
              <w:rPr>
                <w:rFonts w:ascii="Century Gothic" w:hAnsi="Century Gothic"/>
                <w:sz w:val="19"/>
                <w:szCs w:val="19"/>
              </w:rPr>
            </w:pPr>
            <w:r>
              <w:rPr>
                <w:rFonts w:ascii="Century Gothic" w:hAnsi="Century Gothic"/>
                <w:sz w:val="19"/>
                <w:szCs w:val="19"/>
              </w:rPr>
              <w:t>Médecin Psychiatre</w:t>
            </w:r>
          </w:p>
        </w:tc>
      </w:tr>
      <w:tr>
        <w:tc>
          <w:tcPr>
            <w:tcW w:w="3256" w:type="dxa"/>
          </w:tcPr>
          <w:p>
            <w:pPr>
              <w:rPr>
                <w:rFonts w:ascii="Century Gothic" w:hAnsi="Century Gothic"/>
                <w:b/>
                <w:sz w:val="19"/>
                <w:szCs w:val="19"/>
              </w:rPr>
            </w:pPr>
            <w:r>
              <w:rPr>
                <w:rFonts w:ascii="Century Gothic" w:hAnsi="Century Gothic"/>
                <w:b/>
                <w:sz w:val="19"/>
                <w:szCs w:val="19"/>
              </w:rPr>
              <w:t>Lieux de travail</w:t>
            </w:r>
          </w:p>
        </w:tc>
        <w:tc>
          <w:tcPr>
            <w:tcW w:w="5806" w:type="dxa"/>
          </w:tcPr>
          <w:p>
            <w:pPr>
              <w:overflowPunct w:val="0"/>
              <w:autoSpaceDE w:val="0"/>
              <w:autoSpaceDN w:val="0"/>
              <w:adjustRightInd w:val="0"/>
              <w:jc w:val="both"/>
              <w:textAlignment w:val="baseline"/>
              <w:rPr>
                <w:rFonts w:ascii="Century Gothic" w:eastAsia="Times New Roman" w:hAnsi="Century Gothic" w:cs="Arial"/>
                <w:b/>
                <w:sz w:val="18"/>
                <w:szCs w:val="18"/>
                <w:lang w:eastAsia="fr-FR"/>
              </w:rPr>
            </w:pPr>
            <w:r>
              <w:rPr>
                <w:rFonts w:ascii="Century Gothic" w:eastAsia="Times New Roman" w:hAnsi="Century Gothic" w:cs="Arial"/>
                <w:b/>
                <w:sz w:val="18"/>
                <w:szCs w:val="18"/>
                <w:lang w:eastAsia="fr-FR"/>
              </w:rPr>
              <w:t>CMP « Amsterdam » rue de Bucarest</w:t>
            </w:r>
          </w:p>
        </w:tc>
      </w:tr>
      <w:tr>
        <w:tc>
          <w:tcPr>
            <w:tcW w:w="3256" w:type="dxa"/>
          </w:tcPr>
          <w:p>
            <w:pPr>
              <w:rPr>
                <w:rFonts w:ascii="Century Gothic" w:hAnsi="Century Gothic"/>
                <w:b/>
                <w:sz w:val="19"/>
                <w:szCs w:val="19"/>
              </w:rPr>
            </w:pPr>
            <w:r>
              <w:rPr>
                <w:rFonts w:ascii="Century Gothic" w:hAnsi="Century Gothic"/>
                <w:b/>
                <w:sz w:val="19"/>
                <w:szCs w:val="19"/>
              </w:rPr>
              <w:t>Organisation du travail</w:t>
            </w:r>
          </w:p>
        </w:tc>
        <w:tc>
          <w:tcPr>
            <w:tcW w:w="5806" w:type="dxa"/>
          </w:tcPr>
          <w:p>
            <w:pPr>
              <w:rPr>
                <w:rFonts w:ascii="Century Gothic" w:hAnsi="Century Gothic"/>
                <w:sz w:val="19"/>
                <w:szCs w:val="19"/>
              </w:rPr>
            </w:pPr>
            <w:r>
              <w:rPr>
                <w:rFonts w:ascii="Century Gothic" w:hAnsi="Century Gothic"/>
                <w:sz w:val="19"/>
                <w:szCs w:val="19"/>
              </w:rPr>
              <w:t>+ 1 à 2 gardes par mois sur le site H Ey</w:t>
            </w:r>
          </w:p>
          <w:p>
            <w:pPr>
              <w:rPr>
                <w:rFonts w:ascii="Century Gothic" w:hAnsi="Century Gothic"/>
                <w:sz w:val="19"/>
                <w:szCs w:val="19"/>
              </w:rPr>
            </w:pPr>
            <w:r>
              <w:rPr>
                <w:rFonts w:ascii="Century Gothic" w:hAnsi="Century Gothic"/>
                <w:sz w:val="19"/>
                <w:szCs w:val="19"/>
              </w:rPr>
              <w:t>+ Participation à la continuité des soins, environ 1 samedi matin par bimestre, sur les unités d’hospitalisation du pôle sur le site H Ey ainsi qu’une astreinte sur place le mardi ou mercredi de 9H à 19H, 1 fois par bimestre pour les entrées sur le site H Ey.</w:t>
            </w:r>
          </w:p>
        </w:tc>
      </w:tr>
      <w:tr>
        <w:tc>
          <w:tcPr>
            <w:tcW w:w="3256" w:type="dxa"/>
          </w:tcPr>
          <w:p>
            <w:pPr>
              <w:rPr>
                <w:rFonts w:ascii="Century Gothic" w:hAnsi="Century Gothic"/>
                <w:b/>
                <w:sz w:val="19"/>
                <w:szCs w:val="19"/>
              </w:rPr>
            </w:pPr>
            <w:r>
              <w:rPr>
                <w:rFonts w:ascii="Century Gothic" w:hAnsi="Century Gothic"/>
                <w:b/>
                <w:sz w:val="19"/>
                <w:szCs w:val="19"/>
              </w:rPr>
              <w:t>Spécificités liées à la fonction</w:t>
            </w:r>
          </w:p>
        </w:tc>
        <w:tc>
          <w:tcPr>
            <w:tcW w:w="5806" w:type="dxa"/>
          </w:tcPr>
          <w:p>
            <w:pPr>
              <w:overflowPunct w:val="0"/>
              <w:autoSpaceDE w:val="0"/>
              <w:autoSpaceDN w:val="0"/>
              <w:adjustRightInd w:val="0"/>
              <w:textAlignment w:val="baseline"/>
              <w:rPr>
                <w:rFonts w:ascii="Century Gothic" w:hAnsi="Century Gothic"/>
                <w:sz w:val="19"/>
                <w:szCs w:val="19"/>
              </w:rPr>
            </w:pPr>
            <w:r>
              <w:rPr>
                <w:rFonts w:ascii="Century Gothic" w:hAnsi="Century Gothic"/>
                <w:sz w:val="19"/>
                <w:szCs w:val="19"/>
              </w:rPr>
              <w:t>Psychiatrie - Intérêt pour la pratique de secteur</w:t>
            </w:r>
          </w:p>
        </w:tc>
      </w:tr>
      <w:tr>
        <w:tc>
          <w:tcPr>
            <w:tcW w:w="3256" w:type="dxa"/>
          </w:tcPr>
          <w:p>
            <w:pPr>
              <w:rPr>
                <w:rFonts w:ascii="Century Gothic" w:hAnsi="Century Gothic"/>
                <w:b/>
                <w:sz w:val="19"/>
                <w:szCs w:val="19"/>
              </w:rPr>
            </w:pPr>
            <w:r>
              <w:rPr>
                <w:rFonts w:ascii="Century Gothic" w:hAnsi="Century Gothic"/>
                <w:b/>
                <w:sz w:val="19"/>
                <w:szCs w:val="19"/>
              </w:rPr>
              <w:t xml:space="preserve">Poste à pourvoir à compter du </w:t>
            </w:r>
          </w:p>
        </w:tc>
        <w:tc>
          <w:tcPr>
            <w:tcW w:w="5806" w:type="dxa"/>
          </w:tcPr>
          <w:p>
            <w:pPr>
              <w:rPr>
                <w:rFonts w:ascii="Century Gothic" w:hAnsi="Century Gothic"/>
                <w:sz w:val="19"/>
                <w:szCs w:val="19"/>
              </w:rPr>
            </w:pPr>
            <w:r>
              <w:rPr>
                <w:rFonts w:ascii="Century Gothic" w:hAnsi="Century Gothic"/>
                <w:sz w:val="19"/>
                <w:szCs w:val="19"/>
              </w:rPr>
              <w:t>ASAP</w:t>
            </w:r>
          </w:p>
        </w:tc>
      </w:tr>
      <w:tr>
        <w:trPr>
          <w:trHeight w:val="58"/>
        </w:trPr>
        <w:tc>
          <w:tcPr>
            <w:tcW w:w="3256" w:type="dxa"/>
          </w:tcPr>
          <w:p>
            <w:pPr>
              <w:rPr>
                <w:rFonts w:ascii="Century Gothic" w:hAnsi="Century Gothic"/>
                <w:b/>
                <w:sz w:val="19"/>
                <w:szCs w:val="19"/>
              </w:rPr>
            </w:pPr>
            <w:r>
              <w:rPr>
                <w:rFonts w:ascii="Century Gothic" w:hAnsi="Century Gothic"/>
                <w:b/>
                <w:sz w:val="19"/>
                <w:szCs w:val="19"/>
              </w:rPr>
              <w:t>Candidatures à adresser</w:t>
            </w:r>
          </w:p>
        </w:tc>
        <w:tc>
          <w:tcPr>
            <w:tcW w:w="5806" w:type="dxa"/>
          </w:tcPr>
          <w:p>
            <w:pPr>
              <w:rPr>
                <w:rFonts w:ascii="Century Gothic" w:hAnsi="Century Gothic"/>
                <w:sz w:val="19"/>
                <w:szCs w:val="19"/>
              </w:rPr>
            </w:pPr>
            <w:r>
              <w:rPr>
                <w:rFonts w:ascii="Century Gothic" w:hAnsi="Century Gothic"/>
                <w:sz w:val="19"/>
                <w:szCs w:val="19"/>
              </w:rPr>
              <w:t>Chef de Pôle : Dr Alexandre CHRISTODOULOU - A.CHRISTODOULOU@ghu-paris.fr</w:t>
            </w:r>
          </w:p>
        </w:tc>
      </w:tr>
    </w:tbl>
    <w:p>
      <w:pPr>
        <w:spacing w:after="0" w:line="240" w:lineRule="auto"/>
        <w:rPr>
          <w:rFonts w:ascii="Century Gothic" w:hAnsi="Century Gothic"/>
          <w:b/>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pPr>
        <w:spacing w:after="0" w:line="240" w:lineRule="auto"/>
        <w:jc w:val="both"/>
        <w:rPr>
          <w:rFonts w:ascii="Century Gothic" w:hAnsi="Century Gothic"/>
          <w:color w:val="555E5E"/>
        </w:rPr>
      </w:pPr>
      <w:r>
        <w:rPr>
          <w:rFonts w:ascii="Century Gothic" w:hAnsi="Century Gothic"/>
          <w:color w:val="555E5E"/>
        </w:rPr>
        <w:t xml:space="preserve">Le </w:t>
      </w:r>
      <w:hyperlink r:id="rId12"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40" w:lineRule="auto"/>
        <w:jc w:val="both"/>
        <w:rPr>
          <w:rStyle w:val="Lienhypertexte"/>
          <w:rFonts w:ascii="Century Gothic" w:hAnsi="Century Gothic"/>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13" w:history="1">
        <w:r>
          <w:rPr>
            <w:rStyle w:val="Lienhypertexte"/>
            <w:rFonts w:ascii="Century Gothic" w:hAnsi="Century Gothic"/>
          </w:rPr>
          <w:t>2 ‘ chrono pour connaître le GHU Paris en images animées </w:t>
        </w:r>
      </w:hyperlink>
    </w:p>
    <w:p>
      <w:pPr>
        <w:spacing w:after="0" w:line="240" w:lineRule="auto"/>
        <w:jc w:val="both"/>
        <w:rPr>
          <w:rStyle w:val="Lienhypertexte"/>
          <w:rFonts w:ascii="Century Gothic" w:hAnsi="Century Gothic"/>
          <w:color w:val="555E5E"/>
          <w:u w:val="none"/>
        </w:rPr>
      </w:pPr>
      <w:r>
        <w:rPr>
          <w:rStyle w:val="Lienhypertexte"/>
          <w:rFonts w:ascii="Century Gothic" w:hAnsi="Century Gothic"/>
          <w:color w:val="555E5E"/>
          <w:u w:val="none"/>
        </w:rPr>
        <w:t xml:space="preserve">Rejoindre le GHU Paris, c’est intégrer une communauté hospitalière engagée qui prend soin des professionnels qui prennent soin des patients. </w:t>
      </w:r>
      <w:hyperlink r:id="rId14" w:history="1">
        <w:r>
          <w:rPr>
            <w:rStyle w:val="Lienhypertexte"/>
            <w:rFonts w:ascii="Century Gothic" w:hAnsi="Century Gothic"/>
          </w:rPr>
          <w:t>#jechoisisleGhuParis</w:t>
        </w:r>
      </w:hyperlink>
    </w:p>
    <w:p>
      <w:pPr>
        <w:spacing w:after="0" w:line="240" w:lineRule="auto"/>
        <w:jc w:val="both"/>
        <w:rPr>
          <w:rStyle w:val="Lienhypertexte"/>
          <w:rFonts w:ascii="Century Gothic" w:hAnsi="Century Gothic"/>
          <w:color w:val="555E5E"/>
        </w:rPr>
      </w:pPr>
      <w:hyperlink r:id="rId15" w:history="1">
        <w:r>
          <w:rPr>
            <w:rStyle w:val="Lienhypertexte"/>
            <w:rFonts w:ascii="Century Gothic" w:hAnsi="Century Gothic"/>
          </w:rPr>
          <w:t>www.ghu-paris.fr</w:t>
        </w:r>
      </w:hyperlink>
      <w:r>
        <w:rPr>
          <w:rStyle w:val="Lienhypertexte"/>
          <w:rFonts w:ascii="Century Gothic" w:hAnsi="Century Gothic"/>
          <w:color w:val="555E5E"/>
        </w:rPr>
        <w:t xml:space="preserve"> / LinkedIn </w:t>
      </w:r>
      <w:hyperlink r:id="rId16" w:history="1">
        <w:proofErr w:type="spellStart"/>
        <w:r>
          <w:rPr>
            <w:rStyle w:val="Lienhypertexte"/>
            <w:rFonts w:ascii="Century Gothic" w:hAnsi="Century Gothic"/>
          </w:rPr>
          <w:t>Ghu</w:t>
        </w:r>
        <w:proofErr w:type="spellEnd"/>
        <w:r>
          <w:rPr>
            <w:rStyle w:val="Lienhypertexte"/>
            <w:rFonts w:ascii="Century Gothic" w:hAnsi="Century Gothic"/>
          </w:rPr>
          <w:t xml:space="preserve"> Paris</w:t>
        </w:r>
      </w:hyperlink>
      <w:r>
        <w:rPr>
          <w:rStyle w:val="Lienhypertexte"/>
          <w:rFonts w:ascii="Century Gothic" w:hAnsi="Century Gothic"/>
          <w:color w:val="555E5E"/>
        </w:rPr>
        <w:t xml:space="preserve"> / Twitter @GhuParis</w:t>
      </w:r>
    </w:p>
    <w:p>
      <w:pPr>
        <w:spacing w:after="0" w:line="240" w:lineRule="auto"/>
        <w:jc w:val="both"/>
        <w:rPr>
          <w:rFonts w:ascii="Century Gothic" w:hAnsi="Century Gothic"/>
          <w:color w:val="555E5E"/>
        </w:rPr>
      </w:pPr>
      <w:r>
        <w:rPr>
          <w:rFonts w:ascii="Century Gothic" w:hAnsi="Century Gothic"/>
          <w:b/>
          <w:color w:val="555E5E"/>
        </w:rPr>
        <w:t>Siège</w:t>
      </w:r>
      <w:r>
        <w:rPr>
          <w:rFonts w:ascii="Century Gothic" w:hAnsi="Century Gothic"/>
          <w:color w:val="555E5E"/>
        </w:rPr>
        <w:t> : Site Sainte-Anne, 1 rue Cabanis 75014 Paris</w:t>
      </w:r>
    </w:p>
    <w:p>
      <w:pPr>
        <w:spacing w:after="0" w:line="240" w:lineRule="auto"/>
        <w:jc w:val="both"/>
        <w:rPr>
          <w:rFonts w:ascii="Century Gothic" w:hAnsi="Century Gothic"/>
          <w:color w:val="555E5E"/>
        </w:rPr>
      </w:pPr>
    </w:p>
    <w:p>
      <w:pPr>
        <w:spacing w:after="0" w:line="240" w:lineRule="auto"/>
        <w:jc w:val="both"/>
        <w:rPr>
          <w:rFonts w:ascii="Century Gothic" w:hAnsi="Century Gothic"/>
          <w:color w:val="555E5E"/>
        </w:rPr>
      </w:pPr>
      <w:r>
        <w:rPr>
          <w:rFonts w:ascii="Century Gothic" w:hAnsi="Century Gothic"/>
          <w:color w:val="555E5E"/>
        </w:rPr>
        <w:t>Le GHU Paris s’engage pour une politique inclusive, tous les postes sont ouverts aux candidats en situation de handicap. </w:t>
      </w:r>
    </w:p>
    <w:p>
      <w:pPr>
        <w:spacing w:after="0" w:line="240" w:lineRule="auto"/>
        <w:rPr>
          <w:rFonts w:ascii="Century Gothic" w:eastAsia="Times New Roman" w:hAnsi="Century Gothic" w:cs="Times New Roman"/>
          <w:b/>
          <w:bCs/>
          <w:sz w:val="8"/>
          <w:szCs w:val="8"/>
          <w:lang w:eastAsia="fr-FR"/>
        </w:rPr>
      </w:pPr>
    </w:p>
    <w:p>
      <w:pPr>
        <w:spacing w:after="0" w:line="240" w:lineRule="auto"/>
        <w:rPr>
          <w:rFonts w:ascii="Century Gothic" w:eastAsia="Times New Roman" w:hAnsi="Century Gothic" w:cs="Times New Roman"/>
          <w:b/>
          <w:bCs/>
          <w:color w:val="008080"/>
          <w:sz w:val="20"/>
          <w:szCs w:val="20"/>
          <w:lang w:eastAsia="fr-FR"/>
        </w:rPr>
      </w:pPr>
    </w:p>
    <w:p>
      <w:pPr>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br w:type="page"/>
      </w: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lastRenderedPageBreak/>
        <w:t>DESCRIPTION DU PÔLE/SERVICE</w:t>
      </w:r>
    </w:p>
    <w:p>
      <w:pPr>
        <w:spacing w:after="0" w:line="240" w:lineRule="auto"/>
        <w:rPr>
          <w:rFonts w:ascii="Century Gothic" w:eastAsia="Times New Roman" w:hAnsi="Century Gothic" w:cs="Times New Roman"/>
          <w:b/>
          <w:bCs/>
          <w:color w:val="008080"/>
          <w:sz w:val="20"/>
          <w:szCs w:val="20"/>
          <w:lang w:eastAsia="fr-FR"/>
        </w:rPr>
      </w:pPr>
    </w:p>
    <w:p>
      <w:pPr>
        <w:rPr>
          <w:rFonts w:ascii="Century Gothic" w:hAnsi="Century Gothic"/>
        </w:rPr>
      </w:pPr>
      <w:r>
        <w:rPr>
          <w:rFonts w:ascii="Century Gothic" w:hAnsi="Century Gothic"/>
        </w:rPr>
        <w:t>Le pôle 75G05/06 correspond au 8e et 9e arrondissement de Paris.</w:t>
      </w:r>
    </w:p>
    <w:p>
      <w:pPr>
        <w:tabs>
          <w:tab w:val="center" w:pos="4536"/>
          <w:tab w:val="right" w:pos="8860"/>
        </w:tabs>
        <w:spacing w:after="0"/>
        <w:rPr>
          <w:rFonts w:ascii="Century Gothic" w:eastAsia="Times New Roman" w:hAnsi="Century Gothic" w:cstheme="minorHAnsi"/>
          <w:lang w:eastAsia="fr-FR"/>
        </w:rPr>
      </w:pPr>
      <w:r>
        <w:rPr>
          <w:rFonts w:ascii="Century Gothic" w:eastAsia="Times New Roman" w:hAnsi="Century Gothic" w:cstheme="minorHAnsi"/>
          <w:lang w:eastAsia="fr-FR"/>
        </w:rPr>
        <w:t>Il est constitué :</w:t>
      </w:r>
    </w:p>
    <w:p>
      <w:pPr>
        <w:numPr>
          <w:ilvl w:val="0"/>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Centre médico-psychologique :</w:t>
      </w:r>
    </w:p>
    <w:p>
      <w:pPr>
        <w:numPr>
          <w:ilvl w:val="1"/>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CMP « Amsterdam » rue de Bucarest</w:t>
      </w:r>
    </w:p>
    <w:p>
      <w:pPr>
        <w:numPr>
          <w:ilvl w:val="1"/>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Centre de consultation de la Tour d’Auvergne, 18,20, rue de la Tour d’Auvergne, 75009, Paris</w:t>
      </w:r>
    </w:p>
    <w:p>
      <w:pPr>
        <w:numPr>
          <w:ilvl w:val="0"/>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Hospitalisation de jour :</w:t>
      </w:r>
    </w:p>
    <w:p>
      <w:pPr>
        <w:numPr>
          <w:ilvl w:val="1"/>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Un hôpital de jour « CREHAPS », centre de réhabilitation psychosociale, sur le site de la tour d’Auvergne</w:t>
      </w:r>
    </w:p>
    <w:p>
      <w:pPr>
        <w:numPr>
          <w:ilvl w:val="0"/>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CATTP « Les cariatides », situé 10, rue d’Abbeville, 75010 Paris</w:t>
      </w:r>
    </w:p>
    <w:p>
      <w:pPr>
        <w:numPr>
          <w:ilvl w:val="0"/>
          <w:numId w:val="22"/>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Hospitalisation temps complet :</w:t>
      </w:r>
    </w:p>
    <w:p>
      <w:pPr>
        <w:numPr>
          <w:ilvl w:val="0"/>
          <w:numId w:val="21"/>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2 unités d’admission ouvertes de 24 lits sur le site Henri Ey, pour la population des deux arrondissements et DIRP.</w:t>
      </w:r>
    </w:p>
    <w:p>
      <w:pPr>
        <w:numPr>
          <w:ilvl w:val="0"/>
          <w:numId w:val="21"/>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1 unité de soins intensifs, fermée, de 10 lits sur le site Henri Ey, intersectorielle (8ème, 9ème et 10ème arrondissement).</w:t>
      </w:r>
    </w:p>
    <w:p>
      <w:pPr>
        <w:tabs>
          <w:tab w:val="center" w:pos="4536"/>
          <w:tab w:val="right" w:pos="8860"/>
        </w:tabs>
        <w:spacing w:after="0"/>
        <w:rPr>
          <w:rFonts w:ascii="Century Gothic" w:eastAsia="Times New Roman" w:hAnsi="Century Gothic" w:cstheme="minorHAnsi"/>
          <w:lang w:eastAsia="fr-FR"/>
        </w:rPr>
      </w:pPr>
      <w:r>
        <w:rPr>
          <w:rFonts w:ascii="Century Gothic" w:eastAsia="Times New Roman" w:hAnsi="Century Gothic" w:cstheme="minorHAnsi"/>
          <w:lang w:eastAsia="fr-FR"/>
        </w:rPr>
        <w:t>Sont rattachées au CMP Bucarest :</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Une unité de Psychothérapies à Médiation Artistique.</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Les psychothérapies proposées sont : Inspiration analytique, TCC, EMDR, hypnose.</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Education Thérapeutique.</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 xml:space="preserve">Equipe </w:t>
      </w:r>
      <w:proofErr w:type="spellStart"/>
      <w:r>
        <w:rPr>
          <w:rFonts w:ascii="Century Gothic" w:eastAsia="Times New Roman" w:hAnsi="Century Gothic" w:cstheme="minorHAnsi"/>
          <w:lang w:eastAsia="fr-FR"/>
        </w:rPr>
        <w:t>Profamille</w:t>
      </w:r>
      <w:proofErr w:type="spellEnd"/>
      <w:r>
        <w:rPr>
          <w:rFonts w:ascii="Century Gothic" w:eastAsia="Times New Roman" w:hAnsi="Century Gothic" w:cstheme="minorHAnsi"/>
          <w:lang w:eastAsia="fr-FR"/>
        </w:rPr>
        <w:t xml:space="preserve"> faisant partie du cluster Ile de France.</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 xml:space="preserve">Une consultation de </w:t>
      </w:r>
      <w:proofErr w:type="spellStart"/>
      <w:r>
        <w:rPr>
          <w:rFonts w:ascii="Century Gothic" w:eastAsia="Times New Roman" w:hAnsi="Century Gothic" w:cstheme="minorHAnsi"/>
          <w:lang w:eastAsia="fr-FR"/>
        </w:rPr>
        <w:t>psychotraumatisme</w:t>
      </w:r>
      <w:proofErr w:type="spellEnd"/>
      <w:r>
        <w:rPr>
          <w:rFonts w:ascii="Century Gothic" w:eastAsia="Times New Roman" w:hAnsi="Century Gothic" w:cstheme="minorHAnsi"/>
          <w:lang w:eastAsia="fr-FR"/>
        </w:rPr>
        <w:t>.</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Une consultation spécialisée dans les pathologies en lien avec la souffrance au travail « ETAPP »,</w:t>
      </w:r>
    </w:p>
    <w:p>
      <w:pPr>
        <w:numPr>
          <w:ilvl w:val="0"/>
          <w:numId w:val="23"/>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Une équipe mobile avec 0,3 ETP médical dédié.</w:t>
      </w:r>
    </w:p>
    <w:p>
      <w:pPr>
        <w:tabs>
          <w:tab w:val="center" w:pos="4536"/>
          <w:tab w:val="right" w:pos="8860"/>
        </w:tabs>
        <w:spacing w:after="0" w:line="240" w:lineRule="auto"/>
        <w:ind w:left="720"/>
        <w:jc w:val="both"/>
        <w:rPr>
          <w:rFonts w:ascii="Century Gothic" w:eastAsia="Times New Roman" w:hAnsi="Century Gothic" w:cstheme="minorHAnsi"/>
          <w:lang w:eastAsia="fr-FR"/>
        </w:rPr>
      </w:pPr>
    </w:p>
    <w:p>
      <w:pPr>
        <w:tabs>
          <w:tab w:val="center" w:pos="4536"/>
          <w:tab w:val="right" w:pos="8860"/>
        </w:tabs>
        <w:spacing w:after="0"/>
        <w:rPr>
          <w:rFonts w:ascii="Century Gothic" w:eastAsia="Times New Roman" w:hAnsi="Century Gothic" w:cstheme="minorHAnsi"/>
          <w:lang w:eastAsia="fr-FR"/>
        </w:rPr>
      </w:pPr>
      <w:r>
        <w:rPr>
          <w:rFonts w:ascii="Century Gothic" w:eastAsia="Times New Roman" w:hAnsi="Century Gothic" w:cstheme="minorHAnsi"/>
          <w:lang w:eastAsia="fr-FR"/>
        </w:rPr>
        <w:t>Est rattachée au Pôle :</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La plateforme de Réhabilitation Psychosociale Paris Nord, structure d’évaluation et de prise en charge pour les patients avec trouble schizophrénique et trouble bipolaire.</w:t>
      </w: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POSTE</w:t>
      </w: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heme="minorHAnsi"/>
          <w:b/>
          <w:lang w:eastAsia="fr-FR"/>
        </w:rPr>
        <w:t>Caractéristiques des fonctions :</w:t>
      </w:r>
    </w:p>
    <w:p>
      <w:pPr>
        <w:spacing w:after="0" w:line="240" w:lineRule="auto"/>
        <w:rPr>
          <w:rFonts w:ascii="Century Gothic" w:eastAsia="Times New Roman" w:hAnsi="Century Gothic" w:cs="Times New Roman"/>
          <w:b/>
          <w:bCs/>
          <w:color w:val="008080"/>
          <w:sz w:val="20"/>
          <w:szCs w:val="20"/>
          <w:lang w:eastAsia="fr-FR"/>
        </w:rPr>
      </w:pP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1/ Organisation de la permanence des soins :</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 xml:space="preserve">          - 1 à 2 gardes par mois sur le site H Ey</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 xml:space="preserve">          - Participation à la continuité des soins, environ 1 samedi matin par bimestre, sur les unités d’hospitalisation du pôle sur le site H Ey ainsi qu’une astreinte sur place le mardi ou mercredi de 9H à 19H, 1 fois par bimestre pour les entrées sur le site H Ey.</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2/ Valences (enseignement ou recherche clinique)</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lastRenderedPageBreak/>
        <w:t>3/ Modalités particulières d’exercice (coopération engagées ou envisagées, autres)</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Partenariats existants et à enrichir dans le cadre du conseil local de santé mentale sur le secteur (associations, autres services de santé, partenariats existants dans le cadre institutionnel du GHU, partenariat existant en interne au GHU avec les autres pôles.</w:t>
      </w:r>
    </w:p>
    <w:p>
      <w:pPr>
        <w:tabs>
          <w:tab w:val="center" w:pos="4536"/>
          <w:tab w:val="right" w:pos="8860"/>
        </w:tabs>
        <w:rPr>
          <w:rFonts w:ascii="Century Gothic" w:eastAsia="Times New Roman" w:hAnsi="Century Gothic" w:cstheme="minorHAnsi"/>
          <w:lang w:eastAsia="fr-FR"/>
        </w:rPr>
      </w:pPr>
      <w:r>
        <w:rPr>
          <w:rFonts w:ascii="Century Gothic" w:eastAsia="Times New Roman" w:hAnsi="Century Gothic" w:cstheme="minorHAnsi"/>
          <w:lang w:eastAsia="fr-FR"/>
        </w:rPr>
        <w:t>Possibilité d’AIG, temps partiel négociable.</w:t>
      </w:r>
    </w:p>
    <w:p>
      <w:pPr>
        <w:spacing w:after="0" w:line="240" w:lineRule="auto"/>
        <w:rPr>
          <w:rFonts w:ascii="Century Gothic" w:eastAsia="Times New Roman" w:hAnsi="Century Gothic" w:cstheme="minorHAnsi"/>
          <w:b/>
          <w:lang w:eastAsia="fr-FR"/>
        </w:rPr>
      </w:pPr>
      <w:r>
        <w:rPr>
          <w:rFonts w:ascii="Century Gothic" w:eastAsia="Times New Roman" w:hAnsi="Century Gothic" w:cstheme="minorHAnsi"/>
          <w:b/>
          <w:lang w:eastAsia="fr-FR"/>
        </w:rPr>
        <w:t>Objectifs et actions :</w:t>
      </w:r>
    </w:p>
    <w:p>
      <w:pPr>
        <w:spacing w:after="0"/>
        <w:rPr>
          <w:rFonts w:ascii="Century Gothic" w:eastAsia="Times New Roman" w:hAnsi="Century Gothic" w:cstheme="minorHAnsi"/>
          <w:lang w:eastAsia="fr-FR"/>
        </w:rPr>
      </w:pPr>
      <w:r>
        <w:rPr>
          <w:rFonts w:ascii="Century Gothic" w:eastAsia="Times New Roman" w:hAnsi="Century Gothic" w:cstheme="minorHAnsi"/>
          <w:lang w:eastAsia="fr-FR"/>
        </w:rPr>
        <w:t>Le praticien travaillera au CMP Amsterdam (FA 1300) :</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Activité de consultation (nouvelles demandes, suivi de patients)</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Participation à l’animation de l’équipe pluriprofessionnelle avec l’encadrement,</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Tenue des réunions de coordination (ambulatoire/autres structures du pôle) et de réunions cliniques,</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Mise en place de réunion d’information et de soutien à l’intention des familles et des aidants,</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Référent sur la question des prises en charges des personnes âgées en lien avec les partenaires identifiés,</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Organisation globale de la structure en lien avec l’encadrement, selon la charte de fonctionnement des CMP parisiens et autour de la notion d’Equipe référente du parcours de soin,</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Démarche qualité, Suivi des indicateurs d’activité et qualités,</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Réunions avec les différents partenaires du pôle dans le cadre de la politique de secteur, CMP pivot de la prise en charge, CLSM…</w:t>
      </w:r>
    </w:p>
    <w:p>
      <w:pPr>
        <w:pStyle w:val="Paragraphedeliste"/>
        <w:numPr>
          <w:ilvl w:val="0"/>
          <w:numId w:val="24"/>
        </w:numPr>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Inscription dans la dynamique institutionnelle du GHU</w:t>
      </w: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 </w:t>
      </w: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MOYENS MIS EN ŒUVRE POUR REALISER LES ACTIONS ET ATTEINDRE LES OBJECTIFS</w:t>
      </w:r>
    </w:p>
    <w:p>
      <w:pPr>
        <w:spacing w:after="0" w:line="240" w:lineRule="auto"/>
        <w:rPr>
          <w:rFonts w:ascii="Century Gothic" w:eastAsia="Times New Roman" w:hAnsi="Century Gothic" w:cs="Times New Roman"/>
          <w:b/>
          <w:bCs/>
          <w:color w:val="008080"/>
          <w:sz w:val="20"/>
          <w:szCs w:val="20"/>
          <w:lang w:eastAsia="fr-FR"/>
        </w:rPr>
      </w:pPr>
    </w:p>
    <w:p>
      <w:pPr>
        <w:pStyle w:val="Paragraphedeliste"/>
        <w:numPr>
          <w:ilvl w:val="0"/>
          <w:numId w:val="25"/>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CMP : 1 ETP cadre ; 6 ETP IDE ; 3 ETP psychologues ; 1,5 ETP rééducateurs, 2,5 ETP d’assistant socio-éducatif ; 2 ETP AMA ; 3,5 ETP de consultants médicaux (répartis sur les PH du pôle).</w:t>
      </w:r>
    </w:p>
    <w:p>
      <w:pPr>
        <w:pStyle w:val="Paragraphedeliste"/>
        <w:numPr>
          <w:ilvl w:val="0"/>
          <w:numId w:val="25"/>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Formation DPC, formation des équipes, échelles d’évaluation…</w:t>
      </w:r>
    </w:p>
    <w:p>
      <w:pPr>
        <w:pStyle w:val="Paragraphedeliste"/>
        <w:numPr>
          <w:ilvl w:val="0"/>
          <w:numId w:val="25"/>
        </w:numPr>
        <w:tabs>
          <w:tab w:val="center" w:pos="4536"/>
          <w:tab w:val="right" w:pos="8860"/>
        </w:tabs>
        <w:spacing w:after="0" w:line="240" w:lineRule="auto"/>
        <w:jc w:val="both"/>
        <w:rPr>
          <w:rFonts w:ascii="Century Gothic" w:eastAsia="Times New Roman" w:hAnsi="Century Gothic" w:cstheme="minorHAnsi"/>
          <w:lang w:eastAsia="fr-FR"/>
        </w:rPr>
      </w:pPr>
      <w:r>
        <w:rPr>
          <w:rFonts w:ascii="Century Gothic" w:eastAsia="Times New Roman" w:hAnsi="Century Gothic" w:cstheme="minorHAnsi"/>
          <w:lang w:eastAsia="fr-FR"/>
        </w:rPr>
        <w:t>Moyens techniques et logistiques (bureau dédié, informatique, téléphonie…)</w:t>
      </w:r>
    </w:p>
    <w:p>
      <w:pPr>
        <w:spacing w:after="0" w:line="240" w:lineRule="auto"/>
        <w:rPr>
          <w:rFonts w:ascii="Century Gothic" w:eastAsia="Times New Roman" w:hAnsi="Century Gothic" w:cs="Times New Roman"/>
          <w:sz w:val="18"/>
          <w:szCs w:val="18"/>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PROFIL </w:t>
      </w:r>
    </w:p>
    <w:p>
      <w:pPr>
        <w:spacing w:after="0"/>
        <w:rPr>
          <w:rFonts w:ascii="Century Gothic" w:hAnsi="Century Gothic"/>
        </w:rPr>
      </w:pPr>
      <w:r>
        <w:rPr>
          <w:rFonts w:ascii="Century Gothic" w:hAnsi="Century Gothic"/>
        </w:rPr>
        <w:t>Psychiatrie Générale</w:t>
      </w:r>
    </w:p>
    <w:p>
      <w:pPr>
        <w:spacing w:after="0"/>
        <w:rPr>
          <w:rFonts w:ascii="Century Gothic" w:hAnsi="Century Gothic"/>
        </w:rPr>
      </w:pPr>
      <w:r>
        <w:rPr>
          <w:rFonts w:ascii="Century Gothic" w:hAnsi="Century Gothic"/>
        </w:rPr>
        <w:t>Intérêt pour la pratique de secteur</w:t>
      </w:r>
    </w:p>
    <w:p>
      <w:pPr>
        <w:spacing w:after="0" w:line="240" w:lineRule="auto"/>
        <w:rPr>
          <w:rFonts w:ascii="Century Gothic" w:eastAsia="Times New Roman" w:hAnsi="Century Gothic" w:cs="Times New Roman"/>
          <w:sz w:val="18"/>
          <w:szCs w:val="18"/>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CONTACT</w:t>
      </w:r>
    </w:p>
    <w:p>
      <w:pPr>
        <w:spacing w:after="0" w:line="240" w:lineRule="auto"/>
        <w:rPr>
          <w:rFonts w:ascii="Century Gothic" w:hAnsi="Century Gothic"/>
          <w:sz w:val="19"/>
          <w:szCs w:val="19"/>
        </w:rPr>
      </w:pPr>
    </w:p>
    <w:p>
      <w:pPr>
        <w:rPr>
          <w:rFonts w:ascii="Century Gothic" w:hAnsi="Century Gothic"/>
        </w:rPr>
      </w:pPr>
      <w:r>
        <w:rPr>
          <w:rFonts w:ascii="Century Gothic" w:hAnsi="Century Gothic"/>
        </w:rPr>
        <w:t>Chef de Pôle : Dr Alexandre CHRISTODOULOU - A.CHRISTODOULOU@ghu-paris.fr</w:t>
      </w:r>
    </w:p>
    <w:sectPr>
      <w:footerReference w:type="default" r:id="rId17"/>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rPr>
        <w:noProof/>
        <w:lang w:eastAsia="fr-FR"/>
      </w:rPr>
      <w:drawing>
        <wp:anchor distT="0" distB="0" distL="114300" distR="114300" simplePos="0" relativeHeight="251664384" behindDoc="0" locked="0" layoutInCell="1" allowOverlap="1">
          <wp:simplePos x="0" y="0"/>
          <wp:positionH relativeFrom="margin">
            <wp:align>center</wp:align>
          </wp:positionH>
          <wp:positionV relativeFrom="paragraph">
            <wp:posOffset>51435</wp:posOffset>
          </wp:positionV>
          <wp:extent cx="6405843" cy="105727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noProof/>
        <w:lang w:eastAsia="fr-FR"/>
      </w:rPr>
      <w:drawing>
        <wp:anchor distT="0" distB="0" distL="114300" distR="114300" simplePos="0" relativeHeight="251662336" behindDoc="0" locked="0" layoutInCell="1" allowOverlap="1">
          <wp:simplePos x="0" y="0"/>
          <wp:positionH relativeFrom="margin">
            <wp:posOffset>-434340</wp:posOffset>
          </wp:positionH>
          <wp:positionV relativeFrom="paragraph">
            <wp:posOffset>-247650</wp:posOffset>
          </wp:positionV>
          <wp:extent cx="6699584" cy="247650"/>
          <wp:effectExtent l="0" t="0" r="6350" b="0"/>
          <wp:wrapSquare wrapText="bothSides"/>
          <wp:docPr id="2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r>
      <w:rPr>
        <w:noProof/>
        <w:lang w:eastAsia="fr-FR"/>
      </w:rPr>
      <mc:AlternateContent>
        <mc:Choice Requires="wps">
          <w:drawing>
            <wp:anchor distT="45720" distB="45720" distL="114300" distR="114300" simplePos="0" relativeHeight="251660288" behindDoc="0" locked="0" layoutInCell="1" allowOverlap="1">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3"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4"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C00"/>
    <w:multiLevelType w:val="hybridMultilevel"/>
    <w:tmpl w:val="1CEE30EC"/>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63189"/>
    <w:multiLevelType w:val="multilevel"/>
    <w:tmpl w:val="00D2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97F50"/>
    <w:multiLevelType w:val="hybridMultilevel"/>
    <w:tmpl w:val="C8C4BF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36BEC"/>
    <w:multiLevelType w:val="multilevel"/>
    <w:tmpl w:val="DE7E04CE"/>
    <w:lvl w:ilvl="0">
      <w:start w:val="1"/>
      <w:numFmt w:val="decimal"/>
      <w:lvlText w:val="%1-"/>
      <w:lvlJc w:val="left"/>
      <w:pPr>
        <w:ind w:left="360" w:hanging="360"/>
      </w:pPr>
      <w:rPr>
        <w:rFonts w:hint="default"/>
      </w:rPr>
    </w:lvl>
    <w:lvl w:ilvl="1">
      <w:numFmt w:val="bullet"/>
      <w:lvlText w:val="-"/>
      <w:lvlJc w:val="left"/>
      <w:pPr>
        <w:ind w:left="720" w:hanging="360"/>
      </w:pPr>
      <w:rPr>
        <w:rFonts w:ascii="Garamond" w:eastAsiaTheme="minorHAnsi" w:hAnsi="Garamond" w:cstheme="minorBid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D755C7"/>
    <w:multiLevelType w:val="hybridMultilevel"/>
    <w:tmpl w:val="0518A20C"/>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56EEC"/>
    <w:multiLevelType w:val="hybridMultilevel"/>
    <w:tmpl w:val="6AE8E53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0D1B"/>
    <w:multiLevelType w:val="hybridMultilevel"/>
    <w:tmpl w:val="F9444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7776C5"/>
    <w:multiLevelType w:val="hybridMultilevel"/>
    <w:tmpl w:val="E898CB8E"/>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D0E10"/>
    <w:multiLevelType w:val="hybridMultilevel"/>
    <w:tmpl w:val="FDEE3DA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6776B3"/>
    <w:multiLevelType w:val="hybridMultilevel"/>
    <w:tmpl w:val="F2C63E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846D3F"/>
    <w:multiLevelType w:val="hybridMultilevel"/>
    <w:tmpl w:val="3AA89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2"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22"/>
  </w:num>
  <w:num w:numId="4">
    <w:abstractNumId w:val="2"/>
  </w:num>
  <w:num w:numId="5">
    <w:abstractNumId w:val="1"/>
  </w:num>
  <w:num w:numId="6">
    <w:abstractNumId w:val="6"/>
  </w:num>
  <w:num w:numId="7">
    <w:abstractNumId w:val="14"/>
  </w:num>
  <w:num w:numId="8">
    <w:abstractNumId w:val="9"/>
  </w:num>
  <w:num w:numId="9">
    <w:abstractNumId w:val="20"/>
  </w:num>
  <w:num w:numId="10">
    <w:abstractNumId w:val="17"/>
  </w:num>
  <w:num w:numId="11">
    <w:abstractNumId w:val="4"/>
  </w:num>
  <w:num w:numId="12">
    <w:abstractNumId w:val="23"/>
  </w:num>
  <w:num w:numId="13">
    <w:abstractNumId w:val="21"/>
  </w:num>
  <w:num w:numId="14">
    <w:abstractNumId w:val="13"/>
  </w:num>
  <w:num w:numId="15">
    <w:abstractNumId w:val="5"/>
  </w:num>
  <w:num w:numId="16">
    <w:abstractNumId w:val="19"/>
  </w:num>
  <w:num w:numId="17">
    <w:abstractNumId w:val="11"/>
  </w:num>
  <w:num w:numId="18">
    <w:abstractNumId w:val="18"/>
  </w:num>
  <w:num w:numId="19">
    <w:abstractNumId w:val="0"/>
  </w:num>
  <w:num w:numId="20">
    <w:abstractNumId w:val="3"/>
  </w:num>
  <w:num w:numId="21">
    <w:abstractNumId w:val="12"/>
  </w:num>
  <w:num w:numId="22">
    <w:abstractNumId w:val="7"/>
  </w:num>
  <w:num w:numId="23">
    <w:abstractNumId w:val="1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5Car">
    <w:name w:val="Titre 5 Car"/>
    <w:basedOn w:val="Policepardfaut"/>
    <w:link w:val="Titre5"/>
    <w:uiPriority w:val="9"/>
    <w:rPr>
      <w:rFonts w:ascii="Times New Roman" w:eastAsia="Times New Roman" w:hAnsi="Times New Roman" w:cs="Times New Roman"/>
      <w:b/>
      <w:bCs/>
      <w:sz w:val="20"/>
      <w:szCs w:val="20"/>
      <w:lang w:eastAsia="fr-FR"/>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2022">
      <w:bodyDiv w:val="1"/>
      <w:marLeft w:val="0"/>
      <w:marRight w:val="0"/>
      <w:marTop w:val="0"/>
      <w:marBottom w:val="0"/>
      <w:divBdr>
        <w:top w:val="none" w:sz="0" w:space="0" w:color="auto"/>
        <w:left w:val="none" w:sz="0" w:space="0" w:color="auto"/>
        <w:bottom w:val="none" w:sz="0" w:space="0" w:color="auto"/>
        <w:right w:val="none" w:sz="0" w:space="0" w:color="auto"/>
      </w:divBdr>
    </w:div>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 w:id="18659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0768979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hu-paris.fr/fr/2019-ght-devient-ghu-par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ghu-par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hu-paris.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hu-paris.fr/fr/le-ghu-paris-recrute-rejoignez-nous-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2b1a2b-e640-4cde-9745-6c56e5f179ab" xsi:nil="true"/>
    <lcf76f155ced4ddcb4097134ff3c332f xmlns="8e6cc563-bf01-40f1-afcd-6e8854baaa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0FB6F75D501047A51DDE3577EB4688" ma:contentTypeVersion="12" ma:contentTypeDescription="Crée un document." ma:contentTypeScope="" ma:versionID="cb83f0ed7d39642a8705edb58cf5d172">
  <xsd:schema xmlns:xsd="http://www.w3.org/2001/XMLSchema" xmlns:xs="http://www.w3.org/2001/XMLSchema" xmlns:p="http://schemas.microsoft.com/office/2006/metadata/properties" xmlns:ns2="8e6cc563-bf01-40f1-afcd-6e8854baaa7a" xmlns:ns3="f92b1a2b-e640-4cde-9745-6c56e5f179ab" targetNamespace="http://schemas.microsoft.com/office/2006/metadata/properties" ma:root="true" ma:fieldsID="ac171713e48912f7a98965f527fb17ce" ns2:_="" ns3:_="">
    <xsd:import namespace="8e6cc563-bf01-40f1-afcd-6e8854baaa7a"/>
    <xsd:import namespace="f92b1a2b-e640-4cde-9745-6c56e5f17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cc563-bf01-40f1-afcd-6e8854baa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c3d124-0429-4acf-9a17-34139c3c40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b1a2b-e640-4cde-9745-6c56e5f179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123627-3413-4d1f-9e4a-a4f06e213f84}" ma:internalName="TaxCatchAll" ma:showField="CatchAllData" ma:web="f92b1a2b-e640-4cde-9745-6c56e5f17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7DADD-281A-41C5-AB70-7188AE9AC467}">
  <ds:schemaRefs>
    <ds:schemaRef ds:uri="http://schemas.microsoft.com/sharepoint/v3/contenttype/forms"/>
  </ds:schemaRefs>
</ds:datastoreItem>
</file>

<file path=customXml/itemProps2.xml><?xml version="1.0" encoding="utf-8"?>
<ds:datastoreItem xmlns:ds="http://schemas.openxmlformats.org/officeDocument/2006/customXml" ds:itemID="{386E4888-D80F-442C-AE25-7A6E2D0B13D5}">
  <ds:schemaRefs>
    <ds:schemaRef ds:uri="http://schemas.microsoft.com/office/2006/metadata/properties"/>
    <ds:schemaRef ds:uri="http://schemas.microsoft.com/office/infopath/2007/PartnerControls"/>
    <ds:schemaRef ds:uri="f92b1a2b-e640-4cde-9745-6c56e5f179ab"/>
    <ds:schemaRef ds:uri="8e6cc563-bf01-40f1-afcd-6e8854baaa7a"/>
  </ds:schemaRefs>
</ds:datastoreItem>
</file>

<file path=customXml/itemProps3.xml><?xml version="1.0" encoding="utf-8"?>
<ds:datastoreItem xmlns:ds="http://schemas.openxmlformats.org/officeDocument/2006/customXml" ds:itemID="{A3E21198-0BD9-43A7-85D2-FFA876164EFA}">
  <ds:schemaRefs>
    <ds:schemaRef ds:uri="http://schemas.openxmlformats.org/officeDocument/2006/bibliography"/>
  </ds:schemaRefs>
</ds:datastoreItem>
</file>

<file path=customXml/itemProps4.xml><?xml version="1.0" encoding="utf-8"?>
<ds:datastoreItem xmlns:ds="http://schemas.openxmlformats.org/officeDocument/2006/customXml" ds:itemID="{BB312F83-1471-4099-AAAC-F5F2D97C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cc563-bf01-40f1-afcd-6e8854baaa7a"/>
    <ds:schemaRef ds:uri="f92b1a2b-e640-4cde-9745-6c56e5f17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5094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 Sophie</dc:creator>
  <cp:lastModifiedBy>REY Mathilde</cp:lastModifiedBy>
  <cp:revision>3</cp:revision>
  <cp:lastPrinted>2018-03-21T10:31:00Z</cp:lastPrinted>
  <dcterms:created xsi:type="dcterms:W3CDTF">2025-06-25T12:12:00Z</dcterms:created>
  <dcterms:modified xsi:type="dcterms:W3CDTF">2025-06-25T13:04:00Z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0x010100A80FB6F75D501047A51DDE3577EB4688</vt:lpwstr>
  </property>
</Properties>
</file>