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A5B9C" w14:textId="1FD06E17" w:rsidR="00916F21" w:rsidRPr="00F34415" w:rsidRDefault="00916F21">
      <w:pPr>
        <w:rPr>
          <w:rFonts w:ascii="Century Gothic" w:hAnsi="Century Gothic"/>
          <w:sz w:val="20"/>
          <w:szCs w:val="20"/>
        </w:rPr>
      </w:pPr>
    </w:p>
    <w:p w14:paraId="396945C4" w14:textId="78F0B4AF" w:rsidR="008D6D48" w:rsidRPr="00F34415" w:rsidRDefault="008D6D48" w:rsidP="008D6D48">
      <w:pPr>
        <w:keepNext/>
        <w:jc w:val="center"/>
        <w:outlineLvl w:val="1"/>
        <w:rPr>
          <w:rFonts w:ascii="Century Gothic" w:eastAsia="Times New Roman" w:hAnsi="Century Gothic" w:cstheme="minorHAnsi"/>
          <w:b/>
          <w:smallCaps/>
          <w:spacing w:val="-20"/>
          <w:sz w:val="20"/>
          <w:szCs w:val="20"/>
          <w:lang w:eastAsia="fr-FR"/>
        </w:rPr>
      </w:pPr>
      <w:r w:rsidRPr="00F34415">
        <w:rPr>
          <w:rFonts w:ascii="Century Gothic" w:eastAsia="Times New Roman" w:hAnsi="Century Gothic" w:cstheme="minorHAnsi"/>
          <w:b/>
          <w:smallCaps/>
          <w:spacing w:val="-20"/>
          <w:sz w:val="20"/>
          <w:szCs w:val="20"/>
          <w:lang w:eastAsia="fr-FR"/>
        </w:rPr>
        <w:t>PROFIL DE POSTE</w:t>
      </w:r>
      <w:r w:rsidR="00FE55C1">
        <w:rPr>
          <w:rFonts w:ascii="Century Gothic" w:eastAsia="Times New Roman" w:hAnsi="Century Gothic" w:cstheme="minorHAnsi"/>
          <w:b/>
          <w:smallCaps/>
          <w:spacing w:val="-20"/>
          <w:sz w:val="20"/>
          <w:szCs w:val="20"/>
          <w:lang w:eastAsia="fr-FR"/>
        </w:rPr>
        <w:t xml:space="preserve"> POLE 75G07</w:t>
      </w:r>
    </w:p>
    <w:p w14:paraId="4CBB5905" w14:textId="366F3F7A" w:rsidR="008D6D48" w:rsidRPr="00F34415" w:rsidRDefault="009D077D" w:rsidP="00894B80">
      <w:pPr>
        <w:widowControl w:val="0"/>
        <w:autoSpaceDE w:val="0"/>
        <w:autoSpaceDN w:val="0"/>
        <w:adjustRightInd w:val="0"/>
        <w:ind w:left="-142" w:right="85"/>
        <w:jc w:val="center"/>
        <w:rPr>
          <w:rFonts w:ascii="Century Gothic" w:eastAsia="Times New Roman" w:hAnsi="Century Gothic" w:cstheme="minorHAnsi"/>
          <w:b/>
          <w:color w:val="000000"/>
          <w:sz w:val="20"/>
          <w:szCs w:val="20"/>
          <w:lang w:eastAsia="fr-FR"/>
        </w:rPr>
      </w:pPr>
      <w:r>
        <w:rPr>
          <w:rFonts w:ascii="Century Gothic" w:eastAsia="Times New Roman" w:hAnsi="Century Gothic" w:cstheme="minorHAnsi"/>
          <w:b/>
          <w:color w:val="000000"/>
          <w:sz w:val="20"/>
          <w:szCs w:val="20"/>
          <w:lang w:eastAsia="fr-FR"/>
        </w:rPr>
        <w:t xml:space="preserve">Praticien hospitalier </w:t>
      </w:r>
      <w:r w:rsidR="00811937">
        <w:rPr>
          <w:rFonts w:ascii="Century Gothic" w:eastAsia="Times New Roman" w:hAnsi="Century Gothic" w:cstheme="minorHAnsi"/>
          <w:b/>
          <w:color w:val="000000"/>
          <w:sz w:val="20"/>
          <w:szCs w:val="20"/>
          <w:lang w:eastAsia="fr-FR"/>
        </w:rPr>
        <w:t xml:space="preserve">contractuel </w:t>
      </w:r>
      <w:r w:rsidR="00D0574D">
        <w:rPr>
          <w:rFonts w:ascii="Century Gothic" w:eastAsia="Times New Roman" w:hAnsi="Century Gothic" w:cstheme="minorHAnsi"/>
          <w:b/>
          <w:color w:val="000000"/>
          <w:sz w:val="20"/>
          <w:szCs w:val="20"/>
          <w:lang w:eastAsia="fr-FR"/>
        </w:rPr>
        <w:t xml:space="preserve">à partir de </w:t>
      </w:r>
      <w:r w:rsidR="00811937">
        <w:rPr>
          <w:rFonts w:ascii="Century Gothic" w:eastAsia="Times New Roman" w:hAnsi="Century Gothic" w:cstheme="minorHAnsi"/>
          <w:b/>
          <w:color w:val="000000"/>
          <w:sz w:val="20"/>
          <w:szCs w:val="20"/>
          <w:lang w:eastAsia="fr-FR"/>
        </w:rPr>
        <w:t>20 %</w:t>
      </w:r>
    </w:p>
    <w:tbl>
      <w:tblPr>
        <w:tblpPr w:leftFromText="141" w:rightFromText="141" w:vertAnchor="text" w:tblpY="1"/>
        <w:tblOverlap w:val="neve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8930"/>
      </w:tblGrid>
      <w:tr w:rsidR="008D6D48" w:rsidRPr="00F34415" w14:paraId="42A177F7" w14:textId="77777777" w:rsidTr="001D52DF">
        <w:trPr>
          <w:trHeight w:val="841"/>
        </w:trPr>
        <w:tc>
          <w:tcPr>
            <w:tcW w:w="212" w:type="dxa"/>
            <w:tcBorders>
              <w:top w:val="nil"/>
              <w:left w:val="nil"/>
              <w:bottom w:val="nil"/>
              <w:right w:val="nil"/>
            </w:tcBorders>
          </w:tcPr>
          <w:p w14:paraId="4A52F733" w14:textId="77777777" w:rsidR="008D6D48" w:rsidRPr="00F34415" w:rsidRDefault="008D6D48" w:rsidP="001D52DF">
            <w:pPr>
              <w:rPr>
                <w:rFonts w:ascii="Century Gothic" w:eastAsia="Times New Roman" w:hAnsi="Century Gothic" w:cstheme="minorHAnsi"/>
                <w:sz w:val="20"/>
                <w:szCs w:val="20"/>
                <w:lang w:eastAsia="fr-FR"/>
              </w:rPr>
            </w:pPr>
          </w:p>
          <w:p w14:paraId="6BE23CF6" w14:textId="77777777" w:rsidR="008D6D48" w:rsidRPr="00F34415" w:rsidRDefault="008D6D48" w:rsidP="001D52DF">
            <w:pPr>
              <w:rPr>
                <w:rFonts w:ascii="Century Gothic" w:eastAsia="Times New Roman" w:hAnsi="Century Gothic" w:cstheme="minorHAnsi"/>
                <w:sz w:val="20"/>
                <w:szCs w:val="20"/>
                <w:u w:val="single"/>
                <w:lang w:eastAsia="fr-FR"/>
              </w:rPr>
            </w:pPr>
          </w:p>
        </w:tc>
        <w:tc>
          <w:tcPr>
            <w:tcW w:w="8930" w:type="dxa"/>
            <w:tcBorders>
              <w:left w:val="single" w:sz="4" w:space="0" w:color="auto"/>
            </w:tcBorders>
          </w:tcPr>
          <w:p w14:paraId="5F23D894" w14:textId="77777777" w:rsidR="008D6D48" w:rsidRPr="00F34415" w:rsidRDefault="008D6D48" w:rsidP="008D6D48">
            <w:pPr>
              <w:jc w:val="both"/>
              <w:rPr>
                <w:rFonts w:ascii="Century Gothic" w:eastAsia="Times New Roman" w:hAnsi="Century Gothic" w:cstheme="minorHAnsi"/>
                <w:iCs/>
                <w:sz w:val="20"/>
                <w:szCs w:val="20"/>
                <w:lang w:eastAsia="fr-FR"/>
              </w:rPr>
            </w:pPr>
            <w:r w:rsidRPr="00F34415">
              <w:rPr>
                <w:rFonts w:ascii="Century Gothic" w:eastAsia="Times New Roman" w:hAnsi="Century Gothic" w:cstheme="minorHAnsi"/>
                <w:iCs/>
                <w:sz w:val="20"/>
                <w:szCs w:val="20"/>
                <w:lang w:eastAsia="fr-FR"/>
              </w:rPr>
              <w:t>L'Etablissement Public de Santé (E.P.S.) Maison Blanche, tout comme le Centre Hospitalier Sainte-Anne, le Groupe Public de Santé Perray Vaucluse, est l'un des établissements publics de santé parisiens spécialisés en psychiatrie fondateur du Groupe Hospitalier Universitaire Paris psychiatrie et neurosciences créé au 1er janvier 2019.</w:t>
            </w:r>
          </w:p>
          <w:p w14:paraId="7E8F2BEE" w14:textId="77777777" w:rsidR="008D6D48" w:rsidRPr="00F34415" w:rsidRDefault="008D6D48" w:rsidP="008D6D48">
            <w:pPr>
              <w:jc w:val="both"/>
              <w:rPr>
                <w:rFonts w:ascii="Century Gothic" w:eastAsia="Times New Roman" w:hAnsi="Century Gothic" w:cstheme="minorHAnsi"/>
                <w:iCs/>
                <w:sz w:val="20"/>
                <w:szCs w:val="20"/>
                <w:lang w:eastAsia="fr-FR"/>
              </w:rPr>
            </w:pPr>
            <w:r w:rsidRPr="00F34415">
              <w:rPr>
                <w:rFonts w:ascii="Century Gothic" w:eastAsia="Times New Roman" w:hAnsi="Century Gothic" w:cstheme="minorHAnsi"/>
                <w:iCs/>
                <w:sz w:val="20"/>
                <w:szCs w:val="20"/>
                <w:lang w:eastAsia="fr-FR"/>
              </w:rPr>
              <w:t>Le site Maison Blanche assure la prise en charge en santé mentale de la population du nord et de l'est parisien (7e IJ, 8e, 9e, 10e, 17e, 18e, 19e, 20e arrondissements), regroupant 13 secteurs de psychiatrie adulte et 3 secteurs de pédopsychiatrie dont la population totale s’élève à 880 140 habitants.</w:t>
            </w:r>
          </w:p>
          <w:p w14:paraId="5A859886" w14:textId="1A1C2FC4" w:rsidR="008D6D48" w:rsidRPr="00F34415" w:rsidRDefault="008D6D48" w:rsidP="008D6D48">
            <w:pPr>
              <w:jc w:val="both"/>
              <w:rPr>
                <w:rFonts w:ascii="Century Gothic" w:eastAsia="Times New Roman" w:hAnsi="Century Gothic" w:cstheme="minorHAnsi"/>
                <w:iCs/>
                <w:sz w:val="20"/>
                <w:szCs w:val="20"/>
                <w:lang w:eastAsia="fr-FR"/>
              </w:rPr>
            </w:pPr>
            <w:r w:rsidRPr="00F34415">
              <w:rPr>
                <w:rFonts w:ascii="Century Gothic" w:eastAsia="Times New Roman" w:hAnsi="Century Gothic" w:cstheme="minorHAnsi"/>
                <w:iCs/>
                <w:sz w:val="20"/>
                <w:szCs w:val="20"/>
                <w:lang w:eastAsia="fr-FR"/>
              </w:rPr>
              <w:t>Il développe ses activités sur le nord et le nord-est de Paris intramuros, où les enjeux sociaux et sanitaires, associés à l’environnement urbain contemporain, se manifestent avec acuité.</w:t>
            </w:r>
          </w:p>
          <w:p w14:paraId="52392000" w14:textId="77777777" w:rsidR="008D6D48" w:rsidRPr="00F34415" w:rsidRDefault="008D6D48" w:rsidP="008D6D48">
            <w:pPr>
              <w:jc w:val="both"/>
              <w:rPr>
                <w:rFonts w:ascii="Century Gothic" w:eastAsia="Times New Roman" w:hAnsi="Century Gothic" w:cstheme="minorHAnsi"/>
                <w:iCs/>
                <w:sz w:val="20"/>
                <w:szCs w:val="20"/>
                <w:lang w:eastAsia="fr-FR"/>
              </w:rPr>
            </w:pPr>
            <w:r w:rsidRPr="00F34415">
              <w:rPr>
                <w:rFonts w:ascii="Century Gothic" w:eastAsia="Times New Roman" w:hAnsi="Century Gothic" w:cstheme="minorHAnsi"/>
                <w:iCs/>
                <w:sz w:val="20"/>
                <w:szCs w:val="20"/>
                <w:lang w:eastAsia="fr-FR"/>
              </w:rPr>
              <w:t>Il s’est engagé dans une mutation majeure qui consiste à rapprocher le dispositif de soins de la population.</w:t>
            </w:r>
          </w:p>
          <w:p w14:paraId="7270FFCF" w14:textId="466129A6" w:rsidR="008D6D48" w:rsidRPr="00F34415" w:rsidRDefault="008D6D48" w:rsidP="008D6D48">
            <w:pPr>
              <w:jc w:val="both"/>
              <w:rPr>
                <w:rFonts w:ascii="Century Gothic" w:eastAsia="Times New Roman" w:hAnsi="Century Gothic" w:cstheme="minorHAnsi"/>
                <w:iCs/>
                <w:sz w:val="20"/>
                <w:szCs w:val="20"/>
                <w:lang w:eastAsia="fr-FR"/>
              </w:rPr>
            </w:pPr>
            <w:r w:rsidRPr="00F34415">
              <w:rPr>
                <w:rFonts w:ascii="Century Gothic" w:eastAsia="Times New Roman" w:hAnsi="Century Gothic" w:cstheme="minorHAnsi"/>
                <w:iCs/>
                <w:sz w:val="20"/>
                <w:szCs w:val="20"/>
                <w:lang w:eastAsia="fr-FR"/>
              </w:rPr>
              <w:t>Parallèlement, le panel des services offerts se diversifie afin de répondre à des besoins sanitaires de publics nouveaux : enfants, adolescents, hospitalisation mère-bébé, personnes dépendantes de produits toxiques ou atteintes par le virus du sida ou de l’hépatite, personnes âgées souffrant de démence.</w:t>
            </w:r>
          </w:p>
          <w:p w14:paraId="7412A2B4" w14:textId="77777777" w:rsidR="008D6D48" w:rsidRPr="00F34415" w:rsidRDefault="008D6D48" w:rsidP="008D6D48">
            <w:pPr>
              <w:jc w:val="both"/>
              <w:rPr>
                <w:rFonts w:ascii="Century Gothic" w:eastAsia="Times New Roman" w:hAnsi="Century Gothic" w:cstheme="minorHAnsi"/>
                <w:iCs/>
                <w:sz w:val="20"/>
                <w:szCs w:val="20"/>
                <w:lang w:eastAsia="fr-FR"/>
              </w:rPr>
            </w:pPr>
            <w:r w:rsidRPr="00F34415">
              <w:rPr>
                <w:rFonts w:ascii="Century Gothic" w:eastAsia="Times New Roman" w:hAnsi="Century Gothic" w:cstheme="minorHAnsi"/>
                <w:iCs/>
                <w:sz w:val="20"/>
                <w:szCs w:val="20"/>
                <w:lang w:eastAsia="fr-FR"/>
              </w:rPr>
              <w:t xml:space="preserve">Il dispose d'une capacité de plus de 700 lits de psychiatrie générale, répartis sur 7 sites d'hospitalisation dont 50 lits en Unités pour Patients en Séjour Prolongé. Il dispose également de 5 lits en Unité d'Hospitalisation Mère-Bébé, de 114 lits en Unités de Soins de Longue Durée, 12 lits d’hospitalisation pour la prise en charge des addictions à Paris (Centre </w:t>
            </w:r>
            <w:proofErr w:type="spellStart"/>
            <w:r w:rsidRPr="00F34415">
              <w:rPr>
                <w:rFonts w:ascii="Century Gothic" w:eastAsia="Times New Roman" w:hAnsi="Century Gothic" w:cstheme="minorHAnsi"/>
                <w:iCs/>
                <w:sz w:val="20"/>
                <w:szCs w:val="20"/>
                <w:lang w:eastAsia="fr-FR"/>
              </w:rPr>
              <w:t>Marmottan</w:t>
            </w:r>
            <w:proofErr w:type="spellEnd"/>
            <w:r w:rsidRPr="00F34415">
              <w:rPr>
                <w:rFonts w:ascii="Century Gothic" w:eastAsia="Times New Roman" w:hAnsi="Century Gothic" w:cstheme="minorHAnsi"/>
                <w:iCs/>
                <w:sz w:val="20"/>
                <w:szCs w:val="20"/>
                <w:lang w:eastAsia="fr-FR"/>
              </w:rPr>
              <w:t>).</w:t>
            </w:r>
          </w:p>
          <w:p w14:paraId="0C6F9C29" w14:textId="1EADFC8B" w:rsidR="00FA5B43" w:rsidRPr="00F34415" w:rsidRDefault="00FA5B43" w:rsidP="00FA5B43">
            <w:pPr>
              <w:rPr>
                <w:rFonts w:ascii="Century Gothic" w:eastAsia="Times New Roman" w:hAnsi="Century Gothic" w:cs="Calibri"/>
                <w:iCs/>
                <w:sz w:val="20"/>
                <w:szCs w:val="20"/>
                <w:lang w:eastAsia="fr-FR"/>
              </w:rPr>
            </w:pPr>
            <w:r w:rsidRPr="00F34415">
              <w:rPr>
                <w:rFonts w:ascii="Century Gothic" w:eastAsia="Times New Roman" w:hAnsi="Century Gothic" w:cs="Calibri"/>
                <w:iCs/>
                <w:sz w:val="20"/>
                <w:szCs w:val="20"/>
                <w:lang w:eastAsia="fr-FR"/>
              </w:rPr>
              <w:t xml:space="preserve"> Au sein du </w:t>
            </w:r>
            <w:r w:rsidR="00F34415" w:rsidRPr="00F34415">
              <w:rPr>
                <w:rFonts w:ascii="Century Gothic" w:eastAsia="Times New Roman" w:hAnsi="Century Gothic" w:cs="Calibri"/>
                <w:iCs/>
                <w:sz w:val="20"/>
                <w:szCs w:val="20"/>
                <w:lang w:eastAsia="fr-FR"/>
              </w:rPr>
              <w:t>Pôle</w:t>
            </w:r>
            <w:r w:rsidRPr="00F34415">
              <w:rPr>
                <w:rFonts w:ascii="Century Gothic" w:eastAsia="Times New Roman" w:hAnsi="Century Gothic" w:cs="Calibri"/>
                <w:iCs/>
                <w:sz w:val="20"/>
                <w:szCs w:val="20"/>
                <w:lang w:eastAsia="fr-FR"/>
              </w:rPr>
              <w:t xml:space="preserve"> 75G07, sectorisé sur le 10ème arrondissement de Paris</w:t>
            </w:r>
          </w:p>
          <w:p w14:paraId="7AB6C749" w14:textId="77777777" w:rsidR="008D6D48" w:rsidRDefault="00FA5B43" w:rsidP="00434317">
            <w:pPr>
              <w:spacing w:line="240" w:lineRule="auto"/>
              <w:rPr>
                <w:rFonts w:ascii="Century Gothic" w:eastAsia="Times New Roman" w:hAnsi="Century Gothic" w:cs="Calibri"/>
                <w:iCs/>
                <w:sz w:val="20"/>
                <w:szCs w:val="20"/>
                <w:lang w:eastAsia="fr-FR"/>
              </w:rPr>
            </w:pPr>
            <w:r w:rsidRPr="00F34415">
              <w:rPr>
                <w:rFonts w:ascii="Century Gothic" w:eastAsia="Times New Roman" w:hAnsi="Century Gothic" w:cs="Calibri"/>
                <w:iCs/>
                <w:sz w:val="20"/>
                <w:szCs w:val="20"/>
                <w:lang w:eastAsia="fr-FR"/>
              </w:rPr>
              <w:t>Structures du pole :</w:t>
            </w:r>
            <w:r w:rsidRPr="00F34415">
              <w:rPr>
                <w:rFonts w:ascii="Century Gothic" w:eastAsia="Times New Roman" w:hAnsi="Century Gothic" w:cs="Calibri"/>
                <w:iCs/>
                <w:sz w:val="20"/>
                <w:szCs w:val="20"/>
                <w:lang w:eastAsia="fr-FR"/>
              </w:rPr>
              <w:br/>
              <w:t>- Le CAP, Centre d'Accueil Permanent, qui comporte dix lits et qui reçoit les patients pour un séjour de 3 à 9 jours (tentative de suicide, primo décompensation, rechute).</w:t>
            </w:r>
            <w:r w:rsidRPr="00F34415">
              <w:rPr>
                <w:rFonts w:ascii="Century Gothic" w:eastAsia="Times New Roman" w:hAnsi="Century Gothic" w:cs="Calibri"/>
                <w:iCs/>
                <w:sz w:val="20"/>
                <w:szCs w:val="20"/>
                <w:lang w:eastAsia="fr-FR"/>
              </w:rPr>
              <w:br/>
              <w:t>- Deux unités d'hospitalisation de 23 lits chacune accueillant les patients sous contrainte et en service libre.</w:t>
            </w:r>
            <w:r w:rsidRPr="00F34415">
              <w:rPr>
                <w:rFonts w:ascii="Century Gothic" w:eastAsia="Times New Roman" w:hAnsi="Century Gothic" w:cs="Calibri"/>
                <w:iCs/>
                <w:sz w:val="20"/>
                <w:szCs w:val="20"/>
                <w:lang w:eastAsia="fr-FR"/>
              </w:rPr>
              <w:br/>
              <w:t xml:space="preserve">- </w:t>
            </w:r>
            <w:r w:rsidR="009D077D">
              <w:rPr>
                <w:rFonts w:ascii="Century Gothic" w:eastAsia="Times New Roman" w:hAnsi="Century Gothic" w:cs="Calibri"/>
                <w:iCs/>
                <w:sz w:val="20"/>
                <w:szCs w:val="20"/>
                <w:lang w:eastAsia="fr-FR"/>
              </w:rPr>
              <w:t xml:space="preserve">Centre </w:t>
            </w:r>
            <w:r w:rsidRPr="00F34415">
              <w:rPr>
                <w:rFonts w:ascii="Century Gothic" w:eastAsia="Times New Roman" w:hAnsi="Century Gothic" w:cs="Calibri"/>
                <w:iCs/>
                <w:sz w:val="20"/>
                <w:szCs w:val="20"/>
                <w:lang w:eastAsia="fr-FR"/>
              </w:rPr>
              <w:t xml:space="preserve"> de réhabilitation psychosociale s'adressant uniquement à la prise en charge des patients schizophrènes.</w:t>
            </w:r>
            <w:r w:rsidRPr="00F34415">
              <w:rPr>
                <w:rFonts w:ascii="Century Gothic" w:eastAsia="Times New Roman" w:hAnsi="Century Gothic" w:cs="Calibri"/>
                <w:iCs/>
                <w:sz w:val="20"/>
                <w:szCs w:val="20"/>
                <w:lang w:eastAsia="fr-FR"/>
              </w:rPr>
              <w:br/>
              <w:t>- L'Atelier Thérapeutique s'adressant au patient ayant une indication M.D.P.H. et qui s'inscrivent pour un projet d'ESAT.</w:t>
            </w:r>
            <w:r w:rsidRPr="00F34415">
              <w:rPr>
                <w:rFonts w:ascii="Century Gothic" w:eastAsia="Times New Roman" w:hAnsi="Century Gothic" w:cs="Calibri"/>
                <w:iCs/>
                <w:sz w:val="20"/>
                <w:szCs w:val="20"/>
                <w:lang w:eastAsia="fr-FR"/>
              </w:rPr>
              <w:br/>
              <w:t>- Le C.A.T.T.P adultes pour psychotiques stabilisés nécessitant un accueil occupationnel à temps partiel</w:t>
            </w:r>
            <w:r w:rsidRPr="00F34415">
              <w:rPr>
                <w:rFonts w:ascii="Century Gothic" w:eastAsia="Times New Roman" w:hAnsi="Century Gothic" w:cs="Calibri"/>
                <w:iCs/>
                <w:sz w:val="20"/>
                <w:szCs w:val="20"/>
                <w:lang w:eastAsia="fr-FR"/>
              </w:rPr>
              <w:br/>
              <w:t>- Le C.A.T.T.P. Denise Grey qui accueille des personnes âgées souffrant de troubles démentiels, de troubles de l'humeur et de délire tardif et/ou une prévention des troubles mnésiques est possible grâce à des tests psychométriques et des ateliers mémoire.</w:t>
            </w:r>
            <w:r w:rsidRPr="00F34415">
              <w:rPr>
                <w:rFonts w:ascii="Century Gothic" w:eastAsia="Times New Roman" w:hAnsi="Century Gothic" w:cs="Calibri"/>
                <w:iCs/>
                <w:sz w:val="20"/>
                <w:szCs w:val="20"/>
                <w:lang w:eastAsia="fr-FR"/>
              </w:rPr>
              <w:br/>
              <w:t>-Le C.M.P. où sont suivis les 2 000 patients qui dispose :</w:t>
            </w:r>
            <w:r w:rsidRPr="00F34415">
              <w:rPr>
                <w:rFonts w:ascii="Century Gothic" w:eastAsia="Times New Roman" w:hAnsi="Century Gothic" w:cs="Calibri"/>
                <w:iCs/>
                <w:sz w:val="20"/>
                <w:szCs w:val="20"/>
                <w:lang w:eastAsia="fr-FR"/>
              </w:rPr>
              <w:br/>
              <w:t>- des consultations psychiatriques.</w:t>
            </w:r>
            <w:r w:rsidRPr="00F34415">
              <w:rPr>
                <w:rFonts w:ascii="Century Gothic" w:eastAsia="Times New Roman" w:hAnsi="Century Gothic" w:cs="Calibri"/>
                <w:iCs/>
                <w:sz w:val="20"/>
                <w:szCs w:val="20"/>
                <w:lang w:eastAsia="fr-FR"/>
              </w:rPr>
              <w:br/>
              <w:t>- des psychothérapies traditionnelles d'inspiration analytique,</w:t>
            </w:r>
            <w:r w:rsidRPr="00F34415">
              <w:rPr>
                <w:rFonts w:ascii="Century Gothic" w:eastAsia="Times New Roman" w:hAnsi="Century Gothic" w:cs="Calibri"/>
                <w:iCs/>
                <w:sz w:val="20"/>
                <w:szCs w:val="20"/>
                <w:lang w:eastAsia="fr-FR"/>
              </w:rPr>
              <w:br/>
              <w:t>- des psychothérapies de type T.C.C.,</w:t>
            </w:r>
            <w:r w:rsidRPr="00F34415">
              <w:rPr>
                <w:rFonts w:ascii="Century Gothic" w:eastAsia="Times New Roman" w:hAnsi="Century Gothic" w:cs="Calibri"/>
                <w:iCs/>
                <w:sz w:val="20"/>
                <w:szCs w:val="20"/>
                <w:lang w:eastAsia="fr-FR"/>
              </w:rPr>
              <w:br/>
              <w:t>- de l'EMDR,</w:t>
            </w:r>
            <w:r w:rsidRPr="00F34415">
              <w:rPr>
                <w:rFonts w:ascii="Century Gothic" w:eastAsia="Times New Roman" w:hAnsi="Century Gothic" w:cs="Calibri"/>
                <w:iCs/>
                <w:sz w:val="20"/>
                <w:szCs w:val="20"/>
                <w:lang w:eastAsia="fr-FR"/>
              </w:rPr>
              <w:br/>
              <w:t>- de l'hypnose,</w:t>
            </w:r>
            <w:r w:rsidRPr="00F34415">
              <w:rPr>
                <w:rFonts w:ascii="Century Gothic" w:eastAsia="Times New Roman" w:hAnsi="Century Gothic" w:cs="Calibri"/>
                <w:iCs/>
                <w:sz w:val="20"/>
                <w:szCs w:val="20"/>
                <w:lang w:eastAsia="fr-FR"/>
              </w:rPr>
              <w:br/>
              <w:t xml:space="preserve">- de </w:t>
            </w:r>
            <w:proofErr w:type="spellStart"/>
            <w:r w:rsidRPr="00F34415">
              <w:rPr>
                <w:rFonts w:ascii="Century Gothic" w:eastAsia="Times New Roman" w:hAnsi="Century Gothic" w:cs="Calibri"/>
                <w:iCs/>
                <w:sz w:val="20"/>
                <w:szCs w:val="20"/>
                <w:lang w:eastAsia="fr-FR"/>
              </w:rPr>
              <w:t>Mindfullness</w:t>
            </w:r>
            <w:proofErr w:type="spellEnd"/>
            <w:r w:rsidRPr="00F34415">
              <w:rPr>
                <w:rFonts w:ascii="Century Gothic" w:eastAsia="Times New Roman" w:hAnsi="Century Gothic" w:cs="Calibri"/>
                <w:iCs/>
                <w:sz w:val="20"/>
                <w:szCs w:val="20"/>
                <w:lang w:eastAsia="fr-FR"/>
              </w:rPr>
              <w:br/>
            </w:r>
            <w:r w:rsidRPr="00F34415">
              <w:rPr>
                <w:rFonts w:ascii="Century Gothic" w:eastAsia="Times New Roman" w:hAnsi="Century Gothic" w:cs="Calibri"/>
                <w:iCs/>
                <w:sz w:val="20"/>
                <w:szCs w:val="20"/>
                <w:lang w:eastAsia="fr-FR"/>
              </w:rPr>
              <w:lastRenderedPageBreak/>
              <w:t>- des thérapies familiales (l'équipe de thérapie familiale comporte trois médecins, une psychologue et deux infirmiers) qui donnent lieu à trois intervisions par an (avec d'autres services d'Ile de France), et une supervision.</w:t>
            </w:r>
          </w:p>
          <w:p w14:paraId="29C34100" w14:textId="67C0E03E" w:rsidR="00434317" w:rsidRPr="00434317" w:rsidRDefault="00434317" w:rsidP="00434317">
            <w:pPr>
              <w:spacing w:line="240" w:lineRule="auto"/>
              <w:rPr>
                <w:rFonts w:ascii="Century Gothic" w:eastAsia="Times New Roman" w:hAnsi="Century Gothic" w:cs="Calibri"/>
                <w:iCs/>
                <w:sz w:val="20"/>
                <w:szCs w:val="20"/>
                <w:lang w:eastAsia="fr-FR"/>
              </w:rPr>
            </w:pPr>
            <w:r>
              <w:rPr>
                <w:rFonts w:ascii="Century Gothic" w:eastAsia="Times New Roman" w:hAnsi="Century Gothic" w:cs="Calibri"/>
                <w:iCs/>
                <w:sz w:val="20"/>
                <w:szCs w:val="20"/>
                <w:lang w:eastAsia="fr-FR"/>
              </w:rPr>
              <w:t xml:space="preserve">- Equipe mobile de </w:t>
            </w:r>
            <w:proofErr w:type="spellStart"/>
            <w:r>
              <w:rPr>
                <w:rFonts w:ascii="Century Gothic" w:eastAsia="Times New Roman" w:hAnsi="Century Gothic" w:cs="Calibri"/>
                <w:iCs/>
                <w:sz w:val="20"/>
                <w:szCs w:val="20"/>
                <w:lang w:eastAsia="fr-FR"/>
              </w:rPr>
              <w:t>géronto-psychiatrie</w:t>
            </w:r>
            <w:proofErr w:type="spellEnd"/>
            <w:r>
              <w:rPr>
                <w:rFonts w:ascii="Century Gothic" w:eastAsia="Times New Roman" w:hAnsi="Century Gothic" w:cs="Calibri"/>
                <w:iCs/>
                <w:sz w:val="20"/>
                <w:szCs w:val="20"/>
                <w:lang w:eastAsia="fr-FR"/>
              </w:rPr>
              <w:t>.</w:t>
            </w:r>
          </w:p>
        </w:tc>
      </w:tr>
    </w:tbl>
    <w:p w14:paraId="7E445328" w14:textId="77777777" w:rsidR="00313614" w:rsidRDefault="00313614" w:rsidP="00313614">
      <w:pPr>
        <w:spacing w:after="0" w:line="240" w:lineRule="auto"/>
        <w:jc w:val="center"/>
        <w:rPr>
          <w:rFonts w:ascii="Century Gothic" w:eastAsia="Times New Roman" w:hAnsi="Century Gothic" w:cstheme="minorHAnsi"/>
          <w:b/>
          <w:sz w:val="20"/>
          <w:szCs w:val="20"/>
          <w:lang w:eastAsia="fr-FR"/>
        </w:rPr>
      </w:pPr>
    </w:p>
    <w:p w14:paraId="00DA38D8" w14:textId="419B4F77" w:rsidR="008D6D48" w:rsidRPr="00F34415" w:rsidRDefault="008D6D48" w:rsidP="00313614">
      <w:pPr>
        <w:spacing w:after="0" w:line="240" w:lineRule="auto"/>
        <w:jc w:val="center"/>
        <w:rPr>
          <w:rFonts w:ascii="Century Gothic" w:eastAsia="Times New Roman" w:hAnsi="Century Gothic" w:cstheme="minorHAnsi"/>
          <w:b/>
          <w:sz w:val="20"/>
          <w:szCs w:val="20"/>
          <w:lang w:eastAsia="fr-FR"/>
        </w:rPr>
      </w:pPr>
      <w:r w:rsidRPr="00F34415">
        <w:rPr>
          <w:rFonts w:ascii="Century Gothic" w:eastAsia="Times New Roman" w:hAnsi="Century Gothic" w:cstheme="minorHAnsi"/>
          <w:b/>
          <w:sz w:val="20"/>
          <w:szCs w:val="20"/>
          <w:lang w:eastAsia="fr-FR"/>
        </w:rPr>
        <w:t>Spécialité recherchée</w:t>
      </w:r>
    </w:p>
    <w:tbl>
      <w:tblPr>
        <w:tblpPr w:leftFromText="141" w:rightFromText="141" w:vertAnchor="text" w:tblpY="1"/>
        <w:tblOverlap w:val="neve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8930"/>
      </w:tblGrid>
      <w:tr w:rsidR="008D6D48" w:rsidRPr="00F34415" w14:paraId="66FE341A" w14:textId="77777777" w:rsidTr="00894B80">
        <w:trPr>
          <w:trHeight w:val="558"/>
        </w:trPr>
        <w:tc>
          <w:tcPr>
            <w:tcW w:w="212" w:type="dxa"/>
            <w:tcBorders>
              <w:top w:val="nil"/>
              <w:left w:val="nil"/>
              <w:bottom w:val="nil"/>
              <w:right w:val="nil"/>
            </w:tcBorders>
          </w:tcPr>
          <w:p w14:paraId="3B3CC9A5" w14:textId="77777777" w:rsidR="008D6D48" w:rsidRPr="00F34415" w:rsidRDefault="008D6D48" w:rsidP="001D52DF">
            <w:pPr>
              <w:rPr>
                <w:rFonts w:ascii="Century Gothic" w:eastAsia="Times New Roman" w:hAnsi="Century Gothic" w:cstheme="minorHAnsi"/>
                <w:sz w:val="20"/>
                <w:szCs w:val="20"/>
                <w:u w:val="single"/>
                <w:lang w:eastAsia="fr-FR"/>
              </w:rPr>
            </w:pPr>
          </w:p>
        </w:tc>
        <w:tc>
          <w:tcPr>
            <w:tcW w:w="8930" w:type="dxa"/>
            <w:tcBorders>
              <w:left w:val="single" w:sz="4" w:space="0" w:color="auto"/>
            </w:tcBorders>
          </w:tcPr>
          <w:p w14:paraId="2610A106" w14:textId="0084D313" w:rsidR="008D6D48" w:rsidRPr="00F34415" w:rsidRDefault="00FA5B43" w:rsidP="001D52DF">
            <w:pPr>
              <w:tabs>
                <w:tab w:val="center" w:pos="4536"/>
                <w:tab w:val="right" w:pos="8790"/>
              </w:tabs>
              <w:ind w:left="72"/>
              <w:rPr>
                <w:rFonts w:ascii="Century Gothic" w:eastAsia="Times New Roman" w:hAnsi="Century Gothic" w:cstheme="minorHAnsi"/>
                <w:sz w:val="20"/>
                <w:szCs w:val="20"/>
                <w:lang w:eastAsia="fr-FR"/>
              </w:rPr>
            </w:pPr>
            <w:r w:rsidRPr="00F34415">
              <w:rPr>
                <w:rFonts w:ascii="Century Gothic" w:eastAsia="Times New Roman" w:hAnsi="Century Gothic" w:cstheme="minorHAnsi"/>
                <w:sz w:val="20"/>
                <w:szCs w:val="20"/>
                <w:lang w:eastAsia="fr-FR"/>
              </w:rPr>
              <w:t>PSYCHIATR</w:t>
            </w:r>
            <w:r w:rsidR="00020DAD" w:rsidRPr="00F34415">
              <w:rPr>
                <w:rFonts w:ascii="Century Gothic" w:eastAsia="Times New Roman" w:hAnsi="Century Gothic" w:cstheme="minorHAnsi"/>
                <w:sz w:val="20"/>
                <w:szCs w:val="20"/>
                <w:lang w:eastAsia="fr-FR"/>
              </w:rPr>
              <w:t>I</w:t>
            </w:r>
            <w:r w:rsidRPr="00F34415">
              <w:rPr>
                <w:rFonts w:ascii="Century Gothic" w:eastAsia="Times New Roman" w:hAnsi="Century Gothic" w:cstheme="minorHAnsi"/>
                <w:sz w:val="20"/>
                <w:szCs w:val="20"/>
                <w:lang w:eastAsia="fr-FR"/>
              </w:rPr>
              <w:t>E</w:t>
            </w:r>
          </w:p>
        </w:tc>
      </w:tr>
    </w:tbl>
    <w:p w14:paraId="35F9A1A2" w14:textId="77777777" w:rsidR="008D6D48" w:rsidRPr="00F34415" w:rsidRDefault="008D6D48" w:rsidP="00313614">
      <w:pPr>
        <w:spacing w:after="0"/>
        <w:rPr>
          <w:rFonts w:ascii="Century Gothic" w:eastAsia="Times New Roman" w:hAnsi="Century Gothic" w:cstheme="minorHAnsi"/>
          <w:b/>
          <w:sz w:val="20"/>
          <w:szCs w:val="20"/>
          <w:lang w:eastAsia="fr-FR"/>
        </w:rPr>
      </w:pPr>
    </w:p>
    <w:p w14:paraId="44BA83D7" w14:textId="77777777" w:rsidR="008D6D48" w:rsidRPr="00F34415" w:rsidRDefault="008D6D48" w:rsidP="00313614">
      <w:pPr>
        <w:widowControl w:val="0"/>
        <w:autoSpaceDE w:val="0"/>
        <w:autoSpaceDN w:val="0"/>
        <w:adjustRightInd w:val="0"/>
        <w:spacing w:after="0"/>
        <w:ind w:left="-142" w:right="85"/>
        <w:jc w:val="center"/>
        <w:rPr>
          <w:rFonts w:ascii="Century Gothic" w:eastAsia="Times New Roman" w:hAnsi="Century Gothic" w:cstheme="minorHAnsi"/>
          <w:b/>
          <w:color w:val="000000"/>
          <w:sz w:val="20"/>
          <w:szCs w:val="20"/>
          <w:lang w:eastAsia="fr-FR"/>
        </w:rPr>
      </w:pPr>
      <w:r w:rsidRPr="00F34415">
        <w:rPr>
          <w:rFonts w:ascii="Century Gothic" w:eastAsia="Times New Roman" w:hAnsi="Century Gothic" w:cstheme="minorHAnsi"/>
          <w:b/>
          <w:color w:val="000000"/>
          <w:sz w:val="20"/>
          <w:szCs w:val="20"/>
          <w:lang w:eastAsia="fr-FR"/>
        </w:rPr>
        <w:t>Position du praticien dans la structure</w:t>
      </w:r>
    </w:p>
    <w:tbl>
      <w:tblPr>
        <w:tblpPr w:leftFromText="141" w:rightFromText="141" w:vertAnchor="text" w:tblpY="1"/>
        <w:tblOverlap w:val="neve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8930"/>
      </w:tblGrid>
      <w:tr w:rsidR="008D6D48" w:rsidRPr="00F34415" w14:paraId="09FF04E7" w14:textId="77777777" w:rsidTr="001D52DF">
        <w:trPr>
          <w:trHeight w:val="841"/>
        </w:trPr>
        <w:tc>
          <w:tcPr>
            <w:tcW w:w="212" w:type="dxa"/>
            <w:tcBorders>
              <w:top w:val="nil"/>
              <w:left w:val="nil"/>
              <w:bottom w:val="nil"/>
              <w:right w:val="nil"/>
            </w:tcBorders>
          </w:tcPr>
          <w:p w14:paraId="11F05592" w14:textId="77777777" w:rsidR="008D6D48" w:rsidRPr="00F34415" w:rsidRDefault="008D6D48" w:rsidP="001D52DF">
            <w:pPr>
              <w:rPr>
                <w:rFonts w:ascii="Century Gothic" w:eastAsia="Times New Roman" w:hAnsi="Century Gothic" w:cstheme="minorHAnsi"/>
                <w:sz w:val="20"/>
                <w:szCs w:val="20"/>
                <w:u w:val="single"/>
                <w:lang w:eastAsia="fr-FR"/>
              </w:rPr>
            </w:pPr>
          </w:p>
        </w:tc>
        <w:tc>
          <w:tcPr>
            <w:tcW w:w="8930" w:type="dxa"/>
            <w:tcBorders>
              <w:left w:val="single" w:sz="4" w:space="0" w:color="auto"/>
            </w:tcBorders>
          </w:tcPr>
          <w:p w14:paraId="4C0F821A" w14:textId="4AFB5FFE" w:rsidR="008D6D48" w:rsidRPr="00F57817" w:rsidRDefault="00F57817" w:rsidP="00F57817">
            <w:pPr>
              <w:tabs>
                <w:tab w:val="center" w:pos="4536"/>
                <w:tab w:val="right" w:pos="8860"/>
              </w:tabs>
              <w:rPr>
                <w:rFonts w:ascii="Century Gothic" w:eastAsia="Times New Roman" w:hAnsi="Century Gothic" w:cstheme="minorHAnsi"/>
                <w:sz w:val="20"/>
                <w:szCs w:val="20"/>
                <w:lang w:eastAsia="fr-FR"/>
              </w:rPr>
            </w:pPr>
            <w:r w:rsidRPr="00F57817">
              <w:rPr>
                <w:rFonts w:ascii="Century Gothic" w:eastAsia="Times New Roman" w:hAnsi="Century Gothic" w:cstheme="minorHAnsi"/>
                <w:sz w:val="20"/>
                <w:szCs w:val="20"/>
                <w:lang w:eastAsia="fr-FR"/>
              </w:rPr>
              <w:t>Gardes sur le</w:t>
            </w:r>
            <w:r w:rsidR="00313614">
              <w:rPr>
                <w:rFonts w:ascii="Century Gothic" w:eastAsia="Times New Roman" w:hAnsi="Century Gothic" w:cstheme="minorHAnsi"/>
                <w:sz w:val="20"/>
                <w:szCs w:val="20"/>
                <w:lang w:eastAsia="fr-FR"/>
              </w:rPr>
              <w:t xml:space="preserve"> site Hauteville (75G07) comprenant deux unités fermées de soins psychiatriques de 21 lits chacune, et un Centre d’Accueil Permanent de 10 lits, qui reçoit les patients en service libre pour un séjour de 3 à 9 jours (tentative de suicide, primo décompensation, rechute).</w:t>
            </w:r>
          </w:p>
        </w:tc>
      </w:tr>
    </w:tbl>
    <w:p w14:paraId="176BC326" w14:textId="7F13C0E6" w:rsidR="008D6D48" w:rsidRPr="00F34415" w:rsidRDefault="008D6D48" w:rsidP="00313614">
      <w:pPr>
        <w:spacing w:after="0"/>
        <w:jc w:val="center"/>
        <w:rPr>
          <w:rFonts w:ascii="Century Gothic" w:eastAsia="Times New Roman" w:hAnsi="Century Gothic" w:cstheme="minorHAnsi"/>
          <w:b/>
          <w:sz w:val="20"/>
          <w:szCs w:val="20"/>
          <w:lang w:eastAsia="fr-FR"/>
        </w:rPr>
      </w:pPr>
    </w:p>
    <w:p w14:paraId="1C2A493F" w14:textId="77777777" w:rsidR="008D6D48" w:rsidRPr="00F34415" w:rsidRDefault="008D6D48" w:rsidP="00313614">
      <w:pPr>
        <w:widowControl w:val="0"/>
        <w:autoSpaceDE w:val="0"/>
        <w:autoSpaceDN w:val="0"/>
        <w:adjustRightInd w:val="0"/>
        <w:spacing w:after="0"/>
        <w:ind w:left="-142" w:right="85"/>
        <w:jc w:val="center"/>
        <w:rPr>
          <w:rFonts w:ascii="Century Gothic" w:eastAsia="Times New Roman" w:hAnsi="Century Gothic" w:cstheme="minorHAnsi"/>
          <w:b/>
          <w:color w:val="000000"/>
          <w:sz w:val="20"/>
          <w:szCs w:val="20"/>
          <w:lang w:eastAsia="fr-FR"/>
        </w:rPr>
      </w:pPr>
      <w:r w:rsidRPr="00F34415">
        <w:rPr>
          <w:rFonts w:ascii="Century Gothic" w:eastAsia="Times New Roman" w:hAnsi="Century Gothic" w:cstheme="minorHAnsi"/>
          <w:b/>
          <w:color w:val="000000"/>
          <w:sz w:val="20"/>
          <w:szCs w:val="20"/>
          <w:lang w:eastAsia="fr-FR"/>
        </w:rPr>
        <w:t>Statut de recrutement</w:t>
      </w:r>
    </w:p>
    <w:tbl>
      <w:tblPr>
        <w:tblpPr w:leftFromText="141" w:rightFromText="141" w:vertAnchor="text" w:tblpY="1"/>
        <w:tblOverlap w:val="neve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8930"/>
      </w:tblGrid>
      <w:tr w:rsidR="008D6D48" w:rsidRPr="00F34415" w14:paraId="04C20852" w14:textId="77777777" w:rsidTr="001D52DF">
        <w:trPr>
          <w:trHeight w:val="841"/>
        </w:trPr>
        <w:tc>
          <w:tcPr>
            <w:tcW w:w="212" w:type="dxa"/>
            <w:tcBorders>
              <w:top w:val="nil"/>
              <w:left w:val="nil"/>
              <w:bottom w:val="nil"/>
              <w:right w:val="nil"/>
            </w:tcBorders>
          </w:tcPr>
          <w:p w14:paraId="08CC987E" w14:textId="77777777" w:rsidR="008D6D48" w:rsidRPr="00F34415" w:rsidRDefault="008D6D48" w:rsidP="001D52DF">
            <w:pPr>
              <w:rPr>
                <w:rFonts w:ascii="Century Gothic" w:eastAsia="Times New Roman" w:hAnsi="Century Gothic" w:cstheme="minorHAnsi"/>
                <w:sz w:val="20"/>
                <w:szCs w:val="20"/>
                <w:u w:val="single"/>
                <w:lang w:eastAsia="fr-FR"/>
              </w:rPr>
            </w:pPr>
          </w:p>
        </w:tc>
        <w:tc>
          <w:tcPr>
            <w:tcW w:w="8930" w:type="dxa"/>
            <w:tcBorders>
              <w:left w:val="single" w:sz="4" w:space="0" w:color="auto"/>
            </w:tcBorders>
          </w:tcPr>
          <w:p w14:paraId="2C02DC16" w14:textId="7F1ED590" w:rsidR="008D6D48" w:rsidRPr="00F34415" w:rsidRDefault="00313614" w:rsidP="00FA5B43">
            <w:pPr>
              <w:tabs>
                <w:tab w:val="center" w:pos="4536"/>
                <w:tab w:val="right" w:pos="8860"/>
              </w:tabs>
              <w:rPr>
                <w:rFonts w:ascii="Century Gothic" w:eastAsia="Times New Roman" w:hAnsi="Century Gothic" w:cstheme="minorHAnsi"/>
                <w:sz w:val="20"/>
                <w:szCs w:val="20"/>
                <w:lang w:eastAsia="fr-FR"/>
              </w:rPr>
            </w:pPr>
            <w:r>
              <w:rPr>
                <w:rFonts w:ascii="Century Gothic" w:eastAsia="Times New Roman" w:hAnsi="Century Gothic" w:cstheme="minorHAnsi"/>
                <w:sz w:val="20"/>
                <w:szCs w:val="20"/>
                <w:lang w:eastAsia="fr-FR"/>
              </w:rPr>
              <w:t xml:space="preserve">PRATICIEN HOSPITALIER </w:t>
            </w:r>
            <w:r w:rsidR="00811937">
              <w:rPr>
                <w:rFonts w:ascii="Century Gothic" w:eastAsia="Times New Roman" w:hAnsi="Century Gothic" w:cstheme="minorHAnsi"/>
                <w:sz w:val="20"/>
                <w:szCs w:val="20"/>
                <w:lang w:eastAsia="fr-FR"/>
              </w:rPr>
              <w:t xml:space="preserve">CONTRACTUEL </w:t>
            </w:r>
            <w:r w:rsidR="00D0574D">
              <w:rPr>
                <w:rFonts w:ascii="Century Gothic" w:eastAsia="Times New Roman" w:hAnsi="Century Gothic" w:cstheme="minorHAnsi"/>
                <w:sz w:val="20"/>
                <w:szCs w:val="20"/>
                <w:lang w:eastAsia="fr-FR"/>
              </w:rPr>
              <w:t xml:space="preserve">A PARTIR DE </w:t>
            </w:r>
            <w:r w:rsidR="00811937">
              <w:rPr>
                <w:rFonts w:ascii="Century Gothic" w:eastAsia="Times New Roman" w:hAnsi="Century Gothic" w:cstheme="minorHAnsi"/>
                <w:sz w:val="20"/>
                <w:szCs w:val="20"/>
                <w:lang w:eastAsia="fr-FR"/>
              </w:rPr>
              <w:t>20 %</w:t>
            </w:r>
            <w:r>
              <w:rPr>
                <w:rFonts w:ascii="Century Gothic" w:eastAsia="Times New Roman" w:hAnsi="Century Gothic" w:cstheme="minorHAnsi"/>
                <w:sz w:val="20"/>
                <w:szCs w:val="20"/>
                <w:lang w:eastAsia="fr-FR"/>
              </w:rPr>
              <w:t xml:space="preserve"> </w:t>
            </w:r>
          </w:p>
        </w:tc>
      </w:tr>
    </w:tbl>
    <w:p w14:paraId="22C5DA7A" w14:textId="77777777" w:rsidR="008D6D48" w:rsidRPr="00F34415" w:rsidRDefault="008D6D48" w:rsidP="00313614">
      <w:pPr>
        <w:widowControl w:val="0"/>
        <w:autoSpaceDE w:val="0"/>
        <w:autoSpaceDN w:val="0"/>
        <w:adjustRightInd w:val="0"/>
        <w:spacing w:after="0"/>
        <w:ind w:right="851"/>
        <w:rPr>
          <w:rFonts w:ascii="Century Gothic" w:eastAsia="Times New Roman" w:hAnsi="Century Gothic" w:cstheme="minorHAnsi"/>
          <w:b/>
          <w:color w:val="000000"/>
          <w:sz w:val="20"/>
          <w:szCs w:val="20"/>
          <w:lang w:eastAsia="fr-FR"/>
        </w:rPr>
      </w:pPr>
    </w:p>
    <w:p w14:paraId="1B5B4600" w14:textId="77777777" w:rsidR="008D6D48" w:rsidRPr="00F34415" w:rsidRDefault="008D6D48" w:rsidP="00313614">
      <w:pPr>
        <w:widowControl w:val="0"/>
        <w:autoSpaceDE w:val="0"/>
        <w:autoSpaceDN w:val="0"/>
        <w:adjustRightInd w:val="0"/>
        <w:spacing w:after="0"/>
        <w:ind w:left="-142" w:right="85"/>
        <w:jc w:val="center"/>
        <w:rPr>
          <w:rFonts w:ascii="Century Gothic" w:eastAsia="Times New Roman" w:hAnsi="Century Gothic" w:cstheme="minorHAnsi"/>
          <w:b/>
          <w:color w:val="000000"/>
          <w:sz w:val="20"/>
          <w:szCs w:val="20"/>
          <w:lang w:eastAsia="fr-FR"/>
        </w:rPr>
      </w:pPr>
      <w:r w:rsidRPr="00F34415">
        <w:rPr>
          <w:rFonts w:ascii="Century Gothic" w:eastAsia="Times New Roman" w:hAnsi="Century Gothic" w:cstheme="minorHAnsi"/>
          <w:b/>
          <w:color w:val="000000"/>
          <w:sz w:val="20"/>
          <w:szCs w:val="20"/>
          <w:lang w:eastAsia="fr-FR"/>
        </w:rPr>
        <w:t>Caractéristiques des fonctions</w:t>
      </w:r>
    </w:p>
    <w:tbl>
      <w:tblPr>
        <w:tblpPr w:leftFromText="141" w:rightFromText="141" w:vertAnchor="text" w:tblpY="1"/>
        <w:tblOverlap w:val="never"/>
        <w:tblW w:w="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
        <w:gridCol w:w="8941"/>
      </w:tblGrid>
      <w:tr w:rsidR="008D6D48" w:rsidRPr="00F34415" w14:paraId="3CE8D206" w14:textId="77777777" w:rsidTr="00F57817">
        <w:trPr>
          <w:trHeight w:val="244"/>
        </w:trPr>
        <w:tc>
          <w:tcPr>
            <w:tcW w:w="211" w:type="dxa"/>
            <w:tcBorders>
              <w:top w:val="nil"/>
              <w:left w:val="nil"/>
              <w:bottom w:val="nil"/>
              <w:right w:val="nil"/>
            </w:tcBorders>
          </w:tcPr>
          <w:p w14:paraId="17993303" w14:textId="77777777" w:rsidR="008D6D48" w:rsidRPr="00F34415" w:rsidRDefault="008D6D48" w:rsidP="001D52DF">
            <w:pPr>
              <w:rPr>
                <w:rFonts w:ascii="Century Gothic" w:eastAsia="Times New Roman" w:hAnsi="Century Gothic" w:cstheme="minorHAnsi"/>
                <w:sz w:val="20"/>
                <w:szCs w:val="20"/>
                <w:lang w:eastAsia="fr-FR"/>
              </w:rPr>
            </w:pPr>
          </w:p>
          <w:p w14:paraId="6B46B8BA" w14:textId="77777777" w:rsidR="008D6D48" w:rsidRPr="00F34415" w:rsidRDefault="008D6D48" w:rsidP="001D52DF">
            <w:pPr>
              <w:rPr>
                <w:rFonts w:ascii="Century Gothic" w:eastAsia="Times New Roman" w:hAnsi="Century Gothic" w:cstheme="minorHAnsi"/>
                <w:sz w:val="20"/>
                <w:szCs w:val="20"/>
                <w:u w:val="single"/>
                <w:lang w:eastAsia="fr-FR"/>
              </w:rPr>
            </w:pPr>
          </w:p>
        </w:tc>
        <w:tc>
          <w:tcPr>
            <w:tcW w:w="8941" w:type="dxa"/>
            <w:tcBorders>
              <w:left w:val="single" w:sz="4" w:space="0" w:color="auto"/>
            </w:tcBorders>
          </w:tcPr>
          <w:p w14:paraId="6BF14CC0" w14:textId="77777777" w:rsidR="008D6D48" w:rsidRDefault="00F57817" w:rsidP="0064628E">
            <w:pPr>
              <w:tabs>
                <w:tab w:val="center" w:pos="4536"/>
                <w:tab w:val="right" w:pos="8860"/>
              </w:tabs>
              <w:rPr>
                <w:rFonts w:ascii="Century Gothic" w:eastAsia="Times New Roman" w:hAnsi="Century Gothic" w:cs="Calibri"/>
                <w:sz w:val="20"/>
                <w:szCs w:val="20"/>
                <w:lang w:eastAsia="fr-FR"/>
              </w:rPr>
            </w:pPr>
            <w:r>
              <w:rPr>
                <w:rFonts w:ascii="Century Gothic" w:eastAsia="Times New Roman" w:hAnsi="Century Gothic" w:cs="Calibri"/>
                <w:sz w:val="20"/>
                <w:szCs w:val="20"/>
                <w:lang w:eastAsia="fr-FR"/>
              </w:rPr>
              <w:t>Participation au tableau de gardes</w:t>
            </w:r>
            <w:r w:rsidR="00313614">
              <w:rPr>
                <w:rFonts w:ascii="Century Gothic" w:eastAsia="Times New Roman" w:hAnsi="Century Gothic" w:cs="Calibri"/>
                <w:sz w:val="20"/>
                <w:szCs w:val="20"/>
                <w:lang w:eastAsia="fr-FR"/>
              </w:rPr>
              <w:t>.</w:t>
            </w:r>
          </w:p>
          <w:p w14:paraId="7627295C" w14:textId="78EF7CC9" w:rsidR="00313614" w:rsidRDefault="00313614" w:rsidP="0064628E">
            <w:pPr>
              <w:tabs>
                <w:tab w:val="center" w:pos="4536"/>
                <w:tab w:val="right" w:pos="8860"/>
              </w:tabs>
              <w:rPr>
                <w:rFonts w:ascii="Century Gothic" w:eastAsia="Times New Roman" w:hAnsi="Century Gothic" w:cs="Calibri"/>
                <w:sz w:val="20"/>
                <w:szCs w:val="20"/>
                <w:lang w:eastAsia="fr-FR"/>
              </w:rPr>
            </w:pPr>
            <w:r>
              <w:rPr>
                <w:rFonts w:ascii="Century Gothic" w:eastAsia="Times New Roman" w:hAnsi="Century Gothic" w:cs="Calibri"/>
                <w:sz w:val="20"/>
                <w:szCs w:val="20"/>
                <w:lang w:eastAsia="fr-FR"/>
              </w:rPr>
              <w:t>Le temps de travail se répartit uniquement sur les gardes. De 18 heures à 9 heures semaine. De 12 heures à 9 heures le samedi et de 9 heures à 9 heures le dimanche.</w:t>
            </w:r>
          </w:p>
          <w:p w14:paraId="3AA09109" w14:textId="6B36C4E2" w:rsidR="00313614" w:rsidRPr="00F34415" w:rsidRDefault="00313614" w:rsidP="0064628E">
            <w:pPr>
              <w:tabs>
                <w:tab w:val="center" w:pos="4536"/>
                <w:tab w:val="right" w:pos="8860"/>
              </w:tabs>
              <w:rPr>
                <w:rFonts w:ascii="Century Gothic" w:eastAsia="Times New Roman" w:hAnsi="Century Gothic" w:cs="Calibri"/>
                <w:sz w:val="20"/>
                <w:szCs w:val="20"/>
                <w:lang w:eastAsia="fr-FR"/>
              </w:rPr>
            </w:pPr>
            <w:r>
              <w:rPr>
                <w:rFonts w:ascii="Century Gothic" w:eastAsia="Times New Roman" w:hAnsi="Century Gothic" w:cs="Calibri"/>
                <w:sz w:val="20"/>
                <w:szCs w:val="20"/>
                <w:lang w:eastAsia="fr-FR"/>
              </w:rPr>
              <w:t>L’activité consiste en l’accueil des éventuelles entrées (SL ou sous contrainte), les consultations d’urgence au CAP, les renouvellements de chambre d’isolement (2 sur la structure) et la rédaction d’éventuels certificats, ainsi que les appels en lien avec des urgences somatiques concernant les patients hospitalisés.</w:t>
            </w:r>
          </w:p>
        </w:tc>
      </w:tr>
    </w:tbl>
    <w:p w14:paraId="6ED017AD" w14:textId="77777777" w:rsidR="00165A3A" w:rsidRDefault="00165A3A" w:rsidP="00165A3A">
      <w:pPr>
        <w:tabs>
          <w:tab w:val="center" w:pos="4536"/>
          <w:tab w:val="left" w:pos="5912"/>
        </w:tabs>
        <w:spacing w:after="0"/>
        <w:rPr>
          <w:rFonts w:ascii="Century Gothic" w:eastAsia="Times New Roman" w:hAnsi="Century Gothic" w:cstheme="minorHAnsi"/>
          <w:b/>
          <w:sz w:val="20"/>
          <w:szCs w:val="20"/>
          <w:lang w:eastAsia="fr-FR"/>
        </w:rPr>
      </w:pPr>
    </w:p>
    <w:p w14:paraId="04A7D554" w14:textId="77777777" w:rsidR="008D6D48" w:rsidRPr="00F34415" w:rsidRDefault="008D6D48" w:rsidP="008D6D48">
      <w:pPr>
        <w:widowControl w:val="0"/>
        <w:autoSpaceDE w:val="0"/>
        <w:autoSpaceDN w:val="0"/>
        <w:adjustRightInd w:val="0"/>
        <w:ind w:left="-142" w:right="85"/>
        <w:jc w:val="center"/>
        <w:rPr>
          <w:rFonts w:ascii="Century Gothic" w:eastAsia="Times New Roman" w:hAnsi="Century Gothic" w:cstheme="minorHAnsi"/>
          <w:b/>
          <w:color w:val="000000"/>
          <w:sz w:val="20"/>
          <w:szCs w:val="20"/>
          <w:lang w:eastAsia="fr-FR"/>
        </w:rPr>
      </w:pPr>
      <w:r w:rsidRPr="00F34415">
        <w:rPr>
          <w:rFonts w:ascii="Century Gothic" w:eastAsia="Times New Roman" w:hAnsi="Century Gothic" w:cstheme="minorHAnsi"/>
          <w:b/>
          <w:color w:val="000000"/>
          <w:sz w:val="20"/>
          <w:szCs w:val="20"/>
          <w:lang w:eastAsia="fr-FR"/>
        </w:rPr>
        <w:t>Conditions de mise en œuvre de la part complémentaire variable de rémunération</w:t>
      </w:r>
    </w:p>
    <w:tbl>
      <w:tblPr>
        <w:tblpPr w:leftFromText="141" w:rightFromText="141" w:vertAnchor="text" w:tblpY="1"/>
        <w:tblOverlap w:val="neve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8930"/>
      </w:tblGrid>
      <w:tr w:rsidR="008D6D48" w:rsidRPr="00F34415" w14:paraId="625678DD" w14:textId="77777777" w:rsidTr="001D52DF">
        <w:trPr>
          <w:trHeight w:val="841"/>
        </w:trPr>
        <w:tc>
          <w:tcPr>
            <w:tcW w:w="212" w:type="dxa"/>
            <w:tcBorders>
              <w:top w:val="nil"/>
              <w:left w:val="nil"/>
              <w:bottom w:val="nil"/>
              <w:right w:val="nil"/>
            </w:tcBorders>
          </w:tcPr>
          <w:p w14:paraId="307BD5B9" w14:textId="77777777" w:rsidR="008D6D48" w:rsidRPr="00F34415" w:rsidRDefault="008D6D48" w:rsidP="001D52DF">
            <w:pPr>
              <w:rPr>
                <w:rFonts w:ascii="Century Gothic" w:eastAsia="Times New Roman" w:hAnsi="Century Gothic" w:cstheme="minorHAnsi"/>
                <w:sz w:val="20"/>
                <w:szCs w:val="20"/>
                <w:u w:val="single"/>
                <w:lang w:eastAsia="fr-FR"/>
              </w:rPr>
            </w:pPr>
          </w:p>
        </w:tc>
        <w:tc>
          <w:tcPr>
            <w:tcW w:w="8930" w:type="dxa"/>
            <w:tcBorders>
              <w:left w:val="single" w:sz="4" w:space="0" w:color="auto"/>
            </w:tcBorders>
          </w:tcPr>
          <w:p w14:paraId="19C2D447" w14:textId="77777777" w:rsidR="008D6D48" w:rsidRPr="00F34415" w:rsidRDefault="008D6D48" w:rsidP="006F700B">
            <w:pPr>
              <w:tabs>
                <w:tab w:val="center" w:pos="4536"/>
                <w:tab w:val="right" w:pos="8860"/>
              </w:tabs>
              <w:spacing w:line="240" w:lineRule="auto"/>
              <w:rPr>
                <w:rFonts w:ascii="Century Gothic" w:eastAsia="Times New Roman" w:hAnsi="Century Gothic" w:cstheme="minorHAnsi"/>
                <w:sz w:val="20"/>
                <w:szCs w:val="20"/>
                <w:lang w:eastAsia="fr-FR"/>
              </w:rPr>
            </w:pPr>
            <w:r w:rsidRPr="00F34415">
              <w:rPr>
                <w:rFonts w:ascii="Century Gothic" w:eastAsia="Times New Roman" w:hAnsi="Century Gothic" w:cstheme="minorHAnsi"/>
                <w:sz w:val="20"/>
                <w:szCs w:val="20"/>
                <w:lang w:eastAsia="fr-FR"/>
              </w:rPr>
              <w:t>Non Concerné</w:t>
            </w:r>
          </w:p>
        </w:tc>
      </w:tr>
    </w:tbl>
    <w:p w14:paraId="45C9AC0A" w14:textId="77777777" w:rsidR="008D6D48" w:rsidRPr="00F34415" w:rsidRDefault="008D6D48" w:rsidP="008D6D48">
      <w:pPr>
        <w:rPr>
          <w:rFonts w:ascii="Century Gothic" w:eastAsia="Times New Roman" w:hAnsi="Century Gothic" w:cstheme="minorHAnsi"/>
          <w:sz w:val="20"/>
          <w:szCs w:val="20"/>
          <w:lang w:eastAsia="fr-FR"/>
        </w:rPr>
      </w:pPr>
    </w:p>
    <w:tbl>
      <w:tblPr>
        <w:tblpPr w:leftFromText="141" w:rightFromText="141" w:vertAnchor="text" w:tblpY="1"/>
        <w:tblOverlap w:val="neve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6804"/>
      </w:tblGrid>
      <w:tr w:rsidR="008D6D48" w:rsidRPr="00F34415" w14:paraId="40477EFF" w14:textId="77777777" w:rsidTr="00020DAD">
        <w:trPr>
          <w:trHeight w:val="279"/>
        </w:trPr>
        <w:tc>
          <w:tcPr>
            <w:tcW w:w="2338" w:type="dxa"/>
            <w:tcBorders>
              <w:top w:val="nil"/>
              <w:left w:val="nil"/>
              <w:bottom w:val="nil"/>
              <w:right w:val="nil"/>
            </w:tcBorders>
          </w:tcPr>
          <w:p w14:paraId="64D9E3C8" w14:textId="77777777" w:rsidR="008D6D48" w:rsidRPr="00F34415" w:rsidRDefault="008D6D48" w:rsidP="001D52DF">
            <w:pPr>
              <w:keepNext/>
              <w:outlineLvl w:val="2"/>
              <w:rPr>
                <w:rFonts w:ascii="Century Gothic" w:eastAsia="Times New Roman" w:hAnsi="Century Gothic" w:cstheme="minorHAnsi"/>
                <w:sz w:val="20"/>
                <w:szCs w:val="20"/>
                <w:lang w:eastAsia="fr-FR"/>
              </w:rPr>
            </w:pPr>
            <w:r w:rsidRPr="00F34415">
              <w:rPr>
                <w:rFonts w:ascii="Century Gothic" w:eastAsia="Times New Roman" w:hAnsi="Century Gothic" w:cstheme="minorHAnsi"/>
                <w:sz w:val="20"/>
                <w:szCs w:val="20"/>
                <w:lang w:eastAsia="fr-FR"/>
              </w:rPr>
              <w:t>Date de prise de poste souhaitée</w:t>
            </w:r>
          </w:p>
        </w:tc>
        <w:tc>
          <w:tcPr>
            <w:tcW w:w="6804" w:type="dxa"/>
            <w:tcBorders>
              <w:left w:val="single" w:sz="4" w:space="0" w:color="auto"/>
            </w:tcBorders>
          </w:tcPr>
          <w:p w14:paraId="16045BEE" w14:textId="701A20B6" w:rsidR="008D6D48" w:rsidRPr="00F34415" w:rsidRDefault="00DB7AF6" w:rsidP="00F34415">
            <w:pPr>
              <w:spacing w:after="0" w:line="240" w:lineRule="auto"/>
              <w:rPr>
                <w:rFonts w:ascii="Century Gothic" w:eastAsia="Times New Roman" w:hAnsi="Century Gothic" w:cstheme="minorHAnsi"/>
                <w:sz w:val="20"/>
                <w:szCs w:val="20"/>
                <w:lang w:eastAsia="fr-FR"/>
              </w:rPr>
            </w:pPr>
            <w:r>
              <w:rPr>
                <w:rFonts w:ascii="Century Gothic" w:eastAsia="Times New Roman" w:hAnsi="Century Gothic" w:cstheme="minorHAnsi"/>
                <w:sz w:val="20"/>
                <w:szCs w:val="20"/>
                <w:lang w:eastAsia="fr-FR"/>
              </w:rPr>
              <w:t>1</w:t>
            </w:r>
            <w:r w:rsidRPr="00DB7AF6">
              <w:rPr>
                <w:rFonts w:ascii="Century Gothic" w:eastAsia="Times New Roman" w:hAnsi="Century Gothic" w:cstheme="minorHAnsi"/>
                <w:sz w:val="20"/>
                <w:szCs w:val="20"/>
                <w:vertAlign w:val="superscript"/>
                <w:lang w:eastAsia="fr-FR"/>
              </w:rPr>
              <w:t>er</w:t>
            </w:r>
            <w:r>
              <w:rPr>
                <w:rFonts w:ascii="Century Gothic" w:eastAsia="Times New Roman" w:hAnsi="Century Gothic" w:cstheme="minorHAnsi"/>
                <w:sz w:val="20"/>
                <w:szCs w:val="20"/>
                <w:lang w:eastAsia="fr-FR"/>
              </w:rPr>
              <w:t xml:space="preserve"> </w:t>
            </w:r>
            <w:r w:rsidR="00F57817">
              <w:rPr>
                <w:rFonts w:ascii="Century Gothic" w:eastAsia="Times New Roman" w:hAnsi="Century Gothic" w:cstheme="minorHAnsi"/>
                <w:sz w:val="20"/>
                <w:szCs w:val="20"/>
                <w:lang w:eastAsia="fr-FR"/>
              </w:rPr>
              <w:t>juin 2024</w:t>
            </w:r>
          </w:p>
        </w:tc>
      </w:tr>
    </w:tbl>
    <w:p w14:paraId="50AFF4F6" w14:textId="77777777" w:rsidR="008D6D48" w:rsidRPr="00F34415" w:rsidRDefault="008D6D48" w:rsidP="008D6D48">
      <w:pPr>
        <w:rPr>
          <w:rFonts w:ascii="Century Gothic" w:eastAsia="Times New Roman" w:hAnsi="Century Gothic" w:cstheme="minorHAnsi"/>
          <w:sz w:val="20"/>
          <w:szCs w:val="20"/>
          <w:lang w:eastAsia="fr-FR"/>
        </w:rPr>
      </w:pPr>
    </w:p>
    <w:tbl>
      <w:tblPr>
        <w:tblpPr w:leftFromText="141" w:rightFromText="141" w:vertAnchor="text" w:tblpY="1"/>
        <w:tblOverlap w:val="neve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6804"/>
      </w:tblGrid>
      <w:tr w:rsidR="008D6D48" w:rsidRPr="00F34415" w14:paraId="328890E9" w14:textId="77777777" w:rsidTr="001D52DF">
        <w:trPr>
          <w:trHeight w:val="279"/>
        </w:trPr>
        <w:tc>
          <w:tcPr>
            <w:tcW w:w="2338" w:type="dxa"/>
            <w:tcBorders>
              <w:top w:val="nil"/>
              <w:left w:val="nil"/>
              <w:bottom w:val="nil"/>
              <w:right w:val="nil"/>
            </w:tcBorders>
          </w:tcPr>
          <w:p w14:paraId="09555D28" w14:textId="77777777" w:rsidR="008D6D48" w:rsidRPr="00F34415" w:rsidRDefault="008D6D48" w:rsidP="001D52DF">
            <w:pPr>
              <w:keepNext/>
              <w:outlineLvl w:val="2"/>
              <w:rPr>
                <w:rFonts w:ascii="Century Gothic" w:eastAsia="Times New Roman" w:hAnsi="Century Gothic" w:cstheme="minorHAnsi"/>
                <w:sz w:val="20"/>
                <w:szCs w:val="20"/>
                <w:lang w:eastAsia="fr-FR"/>
              </w:rPr>
            </w:pPr>
            <w:r w:rsidRPr="00F34415">
              <w:rPr>
                <w:rFonts w:ascii="Century Gothic" w:eastAsia="Times New Roman" w:hAnsi="Century Gothic" w:cstheme="minorHAnsi"/>
                <w:sz w:val="20"/>
                <w:szCs w:val="20"/>
                <w:lang w:eastAsia="fr-FR"/>
              </w:rPr>
              <w:t>Chef de pôle</w:t>
            </w:r>
          </w:p>
        </w:tc>
        <w:tc>
          <w:tcPr>
            <w:tcW w:w="6804" w:type="dxa"/>
            <w:tcBorders>
              <w:left w:val="single" w:sz="4" w:space="0" w:color="auto"/>
            </w:tcBorders>
          </w:tcPr>
          <w:p w14:paraId="05285CE3" w14:textId="03DC18B5" w:rsidR="00FA5B43" w:rsidRPr="00F34415" w:rsidRDefault="00894B80" w:rsidP="00FA5B43">
            <w:pPr>
              <w:rPr>
                <w:rFonts w:ascii="Century Gothic" w:eastAsia="Times New Roman" w:hAnsi="Century Gothic" w:cs="Calibri"/>
                <w:sz w:val="20"/>
                <w:szCs w:val="20"/>
                <w:lang w:eastAsia="fr-FR"/>
              </w:rPr>
            </w:pPr>
            <w:r w:rsidRPr="00F34415">
              <w:rPr>
                <w:rFonts w:ascii="Century Gothic" w:eastAsia="Times New Roman" w:hAnsi="Century Gothic" w:cs="Calibri"/>
                <w:sz w:val="20"/>
                <w:szCs w:val="20"/>
                <w:lang w:eastAsia="fr-FR"/>
              </w:rPr>
              <w:t>Dr Marina LITINETSKAIA</w:t>
            </w:r>
          </w:p>
          <w:p w14:paraId="76E10BA4" w14:textId="7880279C" w:rsidR="008D6D48" w:rsidRPr="00F34415" w:rsidRDefault="0016396B" w:rsidP="00FA5B43">
            <w:pPr>
              <w:rPr>
                <w:rFonts w:ascii="Century Gothic" w:eastAsia="Times New Roman" w:hAnsi="Century Gothic" w:cstheme="minorHAnsi"/>
                <w:sz w:val="20"/>
                <w:szCs w:val="20"/>
                <w:lang w:eastAsia="fr-FR"/>
              </w:rPr>
            </w:pPr>
            <w:hyperlink r:id="rId8" w:history="1">
              <w:r w:rsidR="00FA5B43" w:rsidRPr="00F34415">
                <w:rPr>
                  <w:rFonts w:ascii="Century Gothic" w:eastAsia="Times New Roman" w:hAnsi="Century Gothic" w:cs="Calibri"/>
                  <w:color w:val="0563C1"/>
                  <w:sz w:val="20"/>
                  <w:szCs w:val="20"/>
                  <w:u w:val="single"/>
                  <w:lang w:eastAsia="fr-FR"/>
                </w:rPr>
                <w:t>Marina.LITINETSKAIA@ghu-paris.fr</w:t>
              </w:r>
            </w:hyperlink>
          </w:p>
        </w:tc>
      </w:tr>
    </w:tbl>
    <w:p w14:paraId="7DCADC60" w14:textId="77777777" w:rsidR="00916F21" w:rsidRPr="00F34415" w:rsidRDefault="00916F21" w:rsidP="008D6D48">
      <w:pPr>
        <w:ind w:left="7080" w:firstLine="708"/>
        <w:rPr>
          <w:rFonts w:ascii="Century Gothic" w:hAnsi="Century Gothic"/>
          <w:sz w:val="20"/>
          <w:szCs w:val="20"/>
        </w:rPr>
      </w:pPr>
    </w:p>
    <w:sectPr w:rsidR="00916F21" w:rsidRPr="00F34415" w:rsidSect="008D6D48">
      <w:headerReference w:type="default" r:id="rId9"/>
      <w:footerReference w:type="default" r:id="rId10"/>
      <w:pgSz w:w="11906" w:h="16838"/>
      <w:pgMar w:top="1418" w:right="1418" w:bottom="1418" w:left="1418" w:header="113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A8597" w14:textId="77777777" w:rsidR="0016396B" w:rsidRDefault="0016396B" w:rsidP="00916F21">
      <w:pPr>
        <w:spacing w:after="0" w:line="240" w:lineRule="auto"/>
      </w:pPr>
      <w:r>
        <w:separator/>
      </w:r>
    </w:p>
  </w:endnote>
  <w:endnote w:type="continuationSeparator" w:id="0">
    <w:p w14:paraId="7CE45215" w14:textId="77777777" w:rsidR="0016396B" w:rsidRDefault="0016396B" w:rsidP="00916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6C11" w14:textId="77777777" w:rsidR="00CA6F04" w:rsidRPr="00916F21" w:rsidRDefault="00CA6F04" w:rsidP="00916F21">
    <w:pPr>
      <w:pStyle w:val="Pieddepage"/>
      <w:jc w:val="center"/>
      <w:rPr>
        <w:rFonts w:ascii="Century Gothic" w:hAnsi="Century Gothic"/>
        <w:color w:val="13619A"/>
        <w:sz w:val="20"/>
      </w:rPr>
    </w:pPr>
    <w:r w:rsidRPr="00916F21">
      <w:rPr>
        <w:rFonts w:ascii="Century Gothic" w:hAnsi="Century Gothic"/>
        <w:color w:val="13619A"/>
        <w:sz w:val="20"/>
      </w:rPr>
      <w:t>GHU Paris psychiatrie &amp; neurosciences, 1 rue Cabanis, 75014 www.ghu-paris.fr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8C97D" w14:textId="77777777" w:rsidR="0016396B" w:rsidRDefault="0016396B" w:rsidP="00916F21">
      <w:pPr>
        <w:spacing w:after="0" w:line="240" w:lineRule="auto"/>
      </w:pPr>
      <w:r>
        <w:separator/>
      </w:r>
    </w:p>
  </w:footnote>
  <w:footnote w:type="continuationSeparator" w:id="0">
    <w:p w14:paraId="6BA30B54" w14:textId="77777777" w:rsidR="0016396B" w:rsidRDefault="0016396B" w:rsidP="00916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6F45" w14:textId="77777777" w:rsidR="00CA6F04" w:rsidRDefault="00CA6F04">
    <w:pPr>
      <w:pStyle w:val="En-tte"/>
    </w:pPr>
    <w:r>
      <w:rPr>
        <w:noProof/>
        <w:lang w:eastAsia="fr-FR"/>
      </w:rPr>
      <w:drawing>
        <wp:anchor distT="0" distB="0" distL="114300" distR="114300" simplePos="0" relativeHeight="251658240" behindDoc="0" locked="0" layoutInCell="1" allowOverlap="1" wp14:anchorId="6CF1AA12" wp14:editId="0E1658F2">
          <wp:simplePos x="0" y="0"/>
          <wp:positionH relativeFrom="margin">
            <wp:posOffset>-76200</wp:posOffset>
          </wp:positionH>
          <wp:positionV relativeFrom="margin">
            <wp:posOffset>-561855</wp:posOffset>
          </wp:positionV>
          <wp:extent cx="2046408" cy="56197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hu-cmj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6408" cy="5619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F689B"/>
    <w:multiLevelType w:val="hybridMultilevel"/>
    <w:tmpl w:val="3F24D302"/>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 w15:restartNumberingAfterBreak="0">
    <w:nsid w:val="4E654645"/>
    <w:multiLevelType w:val="hybridMultilevel"/>
    <w:tmpl w:val="2F4E32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2B0EE3"/>
    <w:multiLevelType w:val="hybridMultilevel"/>
    <w:tmpl w:val="AFD02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F66743C"/>
    <w:multiLevelType w:val="hybridMultilevel"/>
    <w:tmpl w:val="F89C07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4B462E0"/>
    <w:multiLevelType w:val="hybridMultilevel"/>
    <w:tmpl w:val="A73637E0"/>
    <w:lvl w:ilvl="0" w:tplc="1604138E">
      <w:numFmt w:val="bullet"/>
      <w:lvlText w:val="-"/>
      <w:lvlJc w:val="left"/>
      <w:pPr>
        <w:ind w:left="720" w:hanging="360"/>
      </w:pPr>
      <w:rPr>
        <w:rFonts w:ascii="Century Gothic" w:eastAsia="Times New Roman" w:hAnsi="Century Gothic"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8843318"/>
    <w:multiLevelType w:val="hybridMultilevel"/>
    <w:tmpl w:val="2E12D59A"/>
    <w:lvl w:ilvl="0" w:tplc="CB8E7A88">
      <w:start w:val="2"/>
      <w:numFmt w:val="bullet"/>
      <w:lvlText w:val="-"/>
      <w:lvlJc w:val="left"/>
      <w:pPr>
        <w:ind w:left="720" w:hanging="360"/>
      </w:pPr>
      <w:rPr>
        <w:rFonts w:ascii="Century Gothic" w:eastAsia="Times New Roman" w:hAnsi="Century Gothic"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F21"/>
    <w:rsid w:val="00020DAD"/>
    <w:rsid w:val="00062500"/>
    <w:rsid w:val="0008258E"/>
    <w:rsid w:val="00092AA8"/>
    <w:rsid w:val="0016396B"/>
    <w:rsid w:val="00165A3A"/>
    <w:rsid w:val="00173096"/>
    <w:rsid w:val="001A219B"/>
    <w:rsid w:val="001D057D"/>
    <w:rsid w:val="00201658"/>
    <w:rsid w:val="00206DC4"/>
    <w:rsid w:val="00313614"/>
    <w:rsid w:val="00434317"/>
    <w:rsid w:val="00446397"/>
    <w:rsid w:val="00481013"/>
    <w:rsid w:val="005272BD"/>
    <w:rsid w:val="0056248E"/>
    <w:rsid w:val="00630C3A"/>
    <w:rsid w:val="006338AF"/>
    <w:rsid w:val="0064628E"/>
    <w:rsid w:val="006B60C5"/>
    <w:rsid w:val="006F700B"/>
    <w:rsid w:val="0075647A"/>
    <w:rsid w:val="00757254"/>
    <w:rsid w:val="007836F6"/>
    <w:rsid w:val="00794C10"/>
    <w:rsid w:val="007C7D0A"/>
    <w:rsid w:val="007F4FAF"/>
    <w:rsid w:val="0080641A"/>
    <w:rsid w:val="00806D16"/>
    <w:rsid w:val="00811937"/>
    <w:rsid w:val="00821BB4"/>
    <w:rsid w:val="00894B80"/>
    <w:rsid w:val="008B422C"/>
    <w:rsid w:val="008D6D48"/>
    <w:rsid w:val="00916F21"/>
    <w:rsid w:val="00944EFE"/>
    <w:rsid w:val="00976565"/>
    <w:rsid w:val="009A47C5"/>
    <w:rsid w:val="009D077D"/>
    <w:rsid w:val="009F65DA"/>
    <w:rsid w:val="00A24C28"/>
    <w:rsid w:val="00AA5A60"/>
    <w:rsid w:val="00BE27F7"/>
    <w:rsid w:val="00C812F2"/>
    <w:rsid w:val="00C858DC"/>
    <w:rsid w:val="00CA6F04"/>
    <w:rsid w:val="00D03297"/>
    <w:rsid w:val="00D0574D"/>
    <w:rsid w:val="00D57CFC"/>
    <w:rsid w:val="00DB7AF6"/>
    <w:rsid w:val="00F143E3"/>
    <w:rsid w:val="00F34415"/>
    <w:rsid w:val="00F57817"/>
    <w:rsid w:val="00FA5B43"/>
    <w:rsid w:val="00FC1348"/>
    <w:rsid w:val="00FE5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0354C"/>
  <w15:docId w15:val="{0C4B362B-E175-4F53-A28A-0EC73580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F21"/>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16F21"/>
    <w:pPr>
      <w:tabs>
        <w:tab w:val="center" w:pos="4536"/>
        <w:tab w:val="right" w:pos="9072"/>
      </w:tabs>
      <w:spacing w:after="0" w:line="240" w:lineRule="auto"/>
    </w:pPr>
  </w:style>
  <w:style w:type="character" w:customStyle="1" w:styleId="En-tteCar">
    <w:name w:val="En-tête Car"/>
    <w:basedOn w:val="Policepardfaut"/>
    <w:link w:val="En-tte"/>
    <w:uiPriority w:val="99"/>
    <w:rsid w:val="00916F21"/>
  </w:style>
  <w:style w:type="paragraph" w:styleId="Pieddepage">
    <w:name w:val="footer"/>
    <w:basedOn w:val="Normal"/>
    <w:link w:val="PieddepageCar"/>
    <w:uiPriority w:val="99"/>
    <w:unhideWhenUsed/>
    <w:rsid w:val="00916F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6F21"/>
  </w:style>
  <w:style w:type="character" w:styleId="Lienhypertexte">
    <w:name w:val="Hyperlink"/>
    <w:basedOn w:val="Policepardfaut"/>
    <w:uiPriority w:val="99"/>
    <w:unhideWhenUsed/>
    <w:rsid w:val="00916F21"/>
    <w:rPr>
      <w:color w:val="0563C1" w:themeColor="hyperlink"/>
      <w:u w:val="single"/>
    </w:rPr>
  </w:style>
  <w:style w:type="character" w:styleId="Marquedecommentaire">
    <w:name w:val="annotation reference"/>
    <w:basedOn w:val="Policepardfaut"/>
    <w:uiPriority w:val="99"/>
    <w:semiHidden/>
    <w:unhideWhenUsed/>
    <w:rsid w:val="008D6D48"/>
    <w:rPr>
      <w:sz w:val="16"/>
      <w:szCs w:val="16"/>
    </w:rPr>
  </w:style>
  <w:style w:type="paragraph" w:styleId="Commentaire">
    <w:name w:val="annotation text"/>
    <w:basedOn w:val="Normal"/>
    <w:link w:val="CommentaireCar"/>
    <w:uiPriority w:val="99"/>
    <w:semiHidden/>
    <w:unhideWhenUsed/>
    <w:rsid w:val="008D6D48"/>
    <w:pPr>
      <w:spacing w:after="0" w:line="240" w:lineRule="auto"/>
      <w:jc w:val="both"/>
    </w:pPr>
    <w:rPr>
      <w:sz w:val="20"/>
      <w:szCs w:val="20"/>
    </w:rPr>
  </w:style>
  <w:style w:type="character" w:customStyle="1" w:styleId="CommentaireCar">
    <w:name w:val="Commentaire Car"/>
    <w:basedOn w:val="Policepardfaut"/>
    <w:link w:val="Commentaire"/>
    <w:uiPriority w:val="99"/>
    <w:semiHidden/>
    <w:rsid w:val="008D6D48"/>
    <w:rPr>
      <w:sz w:val="20"/>
      <w:szCs w:val="20"/>
    </w:rPr>
  </w:style>
  <w:style w:type="paragraph" w:styleId="Textedebulles">
    <w:name w:val="Balloon Text"/>
    <w:basedOn w:val="Normal"/>
    <w:link w:val="TextedebullesCar"/>
    <w:uiPriority w:val="99"/>
    <w:semiHidden/>
    <w:unhideWhenUsed/>
    <w:rsid w:val="008D6D4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6D48"/>
    <w:rPr>
      <w:rFonts w:ascii="Segoe UI" w:hAnsi="Segoe UI" w:cs="Segoe UI"/>
      <w:sz w:val="18"/>
      <w:szCs w:val="18"/>
    </w:rPr>
  </w:style>
  <w:style w:type="paragraph" w:styleId="Paragraphedeliste">
    <w:name w:val="List Paragraph"/>
    <w:basedOn w:val="Normal"/>
    <w:uiPriority w:val="34"/>
    <w:qFormat/>
    <w:rsid w:val="004343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LITINETSKAIA@ghu-pari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C3EB4-56D7-4539-92C4-BFA5D8252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3768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CHSA</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PEREIRA Mélanie</dc:creator>
  <cp:lastModifiedBy>REY Mathilde</cp:lastModifiedBy>
  <cp:revision>2</cp:revision>
  <cp:lastPrinted>2024-04-29T08:21:00Z</cp:lastPrinted>
  <dcterms:created xsi:type="dcterms:W3CDTF">2025-01-17T10:01:00Z</dcterms:created>
  <dcterms:modified xsi:type="dcterms:W3CDTF">2025-01-17T10:01:00Z</dcterms:modified>
</cp:coreProperties>
</file>