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35EB" w14:textId="77777777" w:rsidR="000B2B2E" w:rsidRDefault="000B2B2E" w:rsidP="00BF15B4">
      <w:pPr>
        <w:spacing w:after="0" w:line="240" w:lineRule="auto"/>
        <w:jc w:val="center"/>
        <w:rPr>
          <w:rFonts w:ascii="Century Gothic" w:hAnsi="Century Gothic"/>
          <w:b/>
        </w:rPr>
      </w:pPr>
      <w:r>
        <w:rPr>
          <w:rFonts w:ascii="Century Gothic" w:hAnsi="Century Gothic"/>
          <w:b/>
          <w:noProof/>
          <w:lang w:eastAsia="fr-FR"/>
        </w:rPr>
        <w:drawing>
          <wp:anchor distT="0" distB="0" distL="114300" distR="114300" simplePos="0" relativeHeight="251658240" behindDoc="0" locked="0" layoutInCell="1" allowOverlap="1" wp14:anchorId="6533E666" wp14:editId="131ACF18">
            <wp:simplePos x="0" y="0"/>
            <wp:positionH relativeFrom="margin">
              <wp:posOffset>4129405</wp:posOffset>
            </wp:positionH>
            <wp:positionV relativeFrom="paragraph">
              <wp:posOffset>0</wp:posOffset>
            </wp:positionV>
            <wp:extent cx="1914525" cy="525145"/>
            <wp:effectExtent l="0" t="0" r="952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hu-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525145"/>
                    </a:xfrm>
                    <a:prstGeom prst="rect">
                      <a:avLst/>
                    </a:prstGeom>
                  </pic:spPr>
                </pic:pic>
              </a:graphicData>
            </a:graphic>
            <wp14:sizeRelH relativeFrom="margin">
              <wp14:pctWidth>0</wp14:pctWidth>
            </wp14:sizeRelH>
            <wp14:sizeRelV relativeFrom="margin">
              <wp14:pctHeight>0</wp14:pctHeight>
            </wp14:sizeRelV>
          </wp:anchor>
        </w:drawing>
      </w:r>
    </w:p>
    <w:p w14:paraId="09515390" w14:textId="77777777" w:rsidR="000B2B2E" w:rsidRDefault="000B2B2E" w:rsidP="00BF15B4">
      <w:pPr>
        <w:spacing w:after="0" w:line="240" w:lineRule="auto"/>
        <w:jc w:val="center"/>
        <w:rPr>
          <w:rFonts w:ascii="Century Gothic" w:hAnsi="Century Gothic"/>
          <w:b/>
        </w:rPr>
      </w:pPr>
    </w:p>
    <w:p w14:paraId="0FFF70F7" w14:textId="77777777" w:rsidR="000B2B2E" w:rsidRDefault="000B2B2E" w:rsidP="00BF15B4">
      <w:pPr>
        <w:spacing w:after="0" w:line="240" w:lineRule="auto"/>
        <w:jc w:val="center"/>
        <w:rPr>
          <w:rFonts w:ascii="Century Gothic" w:hAnsi="Century Gothic"/>
          <w:b/>
        </w:rPr>
      </w:pPr>
    </w:p>
    <w:p w14:paraId="559D694E" w14:textId="77777777" w:rsidR="00720985" w:rsidRDefault="00720985" w:rsidP="00BF15B4">
      <w:pPr>
        <w:spacing w:after="0" w:line="240" w:lineRule="auto"/>
        <w:jc w:val="center"/>
        <w:rPr>
          <w:rFonts w:ascii="Century Gothic" w:hAnsi="Century Gothic"/>
          <w:b/>
        </w:rPr>
      </w:pPr>
    </w:p>
    <w:p w14:paraId="527554AE" w14:textId="77777777" w:rsidR="00B257FA" w:rsidRPr="00B257FA" w:rsidRDefault="00B257FA" w:rsidP="00B257FA">
      <w:pPr>
        <w:spacing w:after="0" w:line="240" w:lineRule="auto"/>
        <w:jc w:val="center"/>
        <w:rPr>
          <w:rFonts w:ascii="Century Gothic" w:hAnsi="Century Gothic"/>
          <w:b/>
          <w:color w:val="008080"/>
        </w:rPr>
      </w:pPr>
      <w:r w:rsidRPr="00B257FA">
        <w:rPr>
          <w:rFonts w:ascii="Century Gothic" w:hAnsi="Century Gothic"/>
          <w:b/>
          <w:color w:val="008080"/>
        </w:rPr>
        <w:t>APPEL A CANDIDATURE POUR UN POSTE DE CHEF DE SERVICE</w:t>
      </w:r>
    </w:p>
    <w:p w14:paraId="7A3E89B3" w14:textId="77777777" w:rsidR="00B257FA" w:rsidRPr="00B257FA" w:rsidRDefault="00B257FA" w:rsidP="00B257FA">
      <w:pPr>
        <w:spacing w:after="0" w:line="240" w:lineRule="auto"/>
        <w:jc w:val="center"/>
        <w:rPr>
          <w:rFonts w:ascii="Century Gothic" w:hAnsi="Century Gothic"/>
          <w:b/>
          <w:color w:val="008080"/>
        </w:rPr>
      </w:pPr>
      <w:r w:rsidRPr="00B257FA">
        <w:rPr>
          <w:rFonts w:ascii="Century Gothic" w:hAnsi="Century Gothic"/>
          <w:b/>
          <w:color w:val="008080"/>
        </w:rPr>
        <w:t>DE SOINS MEDICAUX ET DE READAPTATION (SMR) MENTION SYSTEME NERVEUX</w:t>
      </w:r>
    </w:p>
    <w:p w14:paraId="35C82198" w14:textId="3C82FF2F" w:rsidR="00B849F8" w:rsidRDefault="00B257FA" w:rsidP="00B257FA">
      <w:pPr>
        <w:spacing w:after="0" w:line="240" w:lineRule="auto"/>
        <w:jc w:val="center"/>
        <w:rPr>
          <w:rFonts w:ascii="Century Gothic" w:hAnsi="Century Gothic"/>
          <w:b/>
          <w:color w:val="008080"/>
        </w:rPr>
      </w:pPr>
      <w:r w:rsidRPr="00B257FA">
        <w:rPr>
          <w:rFonts w:ascii="Century Gothic" w:hAnsi="Century Gothic"/>
          <w:b/>
          <w:color w:val="008080"/>
        </w:rPr>
        <w:t>POLE NEURO SAINTE ANNE - GHU PARIS PSYCHIATRIE &amp; NEUROSCIENCES</w:t>
      </w:r>
    </w:p>
    <w:p w14:paraId="08848B70" w14:textId="77777777" w:rsidR="00B257FA" w:rsidRPr="000B2B2E" w:rsidRDefault="00B257FA" w:rsidP="00B257FA">
      <w:pPr>
        <w:spacing w:after="0" w:line="240" w:lineRule="auto"/>
        <w:jc w:val="center"/>
        <w:rPr>
          <w:rFonts w:ascii="Century Gothic" w:hAnsi="Century Gothic"/>
          <w:b/>
        </w:rPr>
      </w:pPr>
    </w:p>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rsidR="00C846EC" w:rsidRPr="000B2B2E" w14:paraId="0D13724D" w14:textId="77777777" w:rsidTr="00B67AE3">
        <w:tc>
          <w:tcPr>
            <w:tcW w:w="3256" w:type="dxa"/>
          </w:tcPr>
          <w:p w14:paraId="5CDB4B6D" w14:textId="77777777" w:rsidR="00C846EC" w:rsidRPr="00F251C7" w:rsidRDefault="00C846EC" w:rsidP="008D63CC">
            <w:pPr>
              <w:rPr>
                <w:rFonts w:ascii="Century Gothic" w:hAnsi="Century Gothic"/>
                <w:b/>
                <w:sz w:val="20"/>
                <w:szCs w:val="19"/>
              </w:rPr>
            </w:pPr>
            <w:r w:rsidRPr="00F251C7">
              <w:rPr>
                <w:rFonts w:ascii="Century Gothic" w:hAnsi="Century Gothic"/>
                <w:b/>
                <w:sz w:val="20"/>
                <w:szCs w:val="19"/>
              </w:rPr>
              <w:t>Temps de travail</w:t>
            </w:r>
          </w:p>
        </w:tc>
        <w:tc>
          <w:tcPr>
            <w:tcW w:w="5806" w:type="dxa"/>
          </w:tcPr>
          <w:p w14:paraId="63E96D50" w14:textId="42BAB001" w:rsidR="00C846EC" w:rsidRPr="00B849F8" w:rsidRDefault="00ED329F" w:rsidP="00B849F8">
            <w:pPr>
              <w:pStyle w:val="Default"/>
            </w:pPr>
            <w:r w:rsidRPr="00F251C7">
              <w:rPr>
                <w:rFonts w:ascii="Century Gothic" w:hAnsi="Century Gothic"/>
                <w:sz w:val="20"/>
                <w:szCs w:val="19"/>
              </w:rPr>
              <w:t>100%</w:t>
            </w:r>
            <w:r w:rsidR="00B849F8">
              <w:rPr>
                <w:sz w:val="22"/>
                <w:szCs w:val="22"/>
              </w:rPr>
              <w:t xml:space="preserve"> </w:t>
            </w:r>
          </w:p>
        </w:tc>
      </w:tr>
      <w:tr w:rsidR="00C846EC" w:rsidRPr="000B2B2E" w14:paraId="3FE9E99A" w14:textId="77777777" w:rsidTr="00B67AE3">
        <w:tc>
          <w:tcPr>
            <w:tcW w:w="3256" w:type="dxa"/>
          </w:tcPr>
          <w:p w14:paraId="3E14BE74" w14:textId="77777777" w:rsidR="00C846EC" w:rsidRPr="00F251C7" w:rsidRDefault="00C846EC" w:rsidP="008D63CC">
            <w:pPr>
              <w:rPr>
                <w:rFonts w:ascii="Century Gothic" w:hAnsi="Century Gothic"/>
                <w:b/>
                <w:sz w:val="20"/>
                <w:szCs w:val="19"/>
              </w:rPr>
            </w:pPr>
            <w:r w:rsidRPr="00F251C7">
              <w:rPr>
                <w:rFonts w:ascii="Century Gothic" w:hAnsi="Century Gothic"/>
                <w:b/>
                <w:sz w:val="20"/>
                <w:szCs w:val="19"/>
              </w:rPr>
              <w:t>Statut</w:t>
            </w:r>
          </w:p>
        </w:tc>
        <w:tc>
          <w:tcPr>
            <w:tcW w:w="5806" w:type="dxa"/>
          </w:tcPr>
          <w:p w14:paraId="3CDB30BF" w14:textId="15E6CACF" w:rsidR="00C846EC" w:rsidRPr="00F251C7" w:rsidRDefault="00B849F8" w:rsidP="00053A40">
            <w:pPr>
              <w:rPr>
                <w:rFonts w:ascii="Century Gothic" w:hAnsi="Century Gothic"/>
                <w:sz w:val="20"/>
                <w:szCs w:val="19"/>
              </w:rPr>
            </w:pPr>
            <w:r>
              <w:rPr>
                <w:rFonts w:ascii="Century Gothic" w:hAnsi="Century Gothic"/>
                <w:sz w:val="20"/>
                <w:szCs w:val="19"/>
              </w:rPr>
              <w:t>P</w:t>
            </w:r>
            <w:r w:rsidRPr="00B849F8">
              <w:rPr>
                <w:rFonts w:ascii="Century Gothic" w:hAnsi="Century Gothic"/>
                <w:sz w:val="20"/>
                <w:szCs w:val="19"/>
              </w:rPr>
              <w:t xml:space="preserve">raticien </w:t>
            </w:r>
            <w:r w:rsidR="00B257FA">
              <w:rPr>
                <w:rFonts w:ascii="Century Gothic" w:hAnsi="Century Gothic"/>
                <w:sz w:val="20"/>
                <w:szCs w:val="19"/>
              </w:rPr>
              <w:t>hospitalier</w:t>
            </w:r>
          </w:p>
        </w:tc>
      </w:tr>
      <w:tr w:rsidR="00ED329F" w:rsidRPr="000B2B2E" w14:paraId="436B7BE5" w14:textId="77777777" w:rsidTr="00B67AE3">
        <w:tc>
          <w:tcPr>
            <w:tcW w:w="3256" w:type="dxa"/>
          </w:tcPr>
          <w:p w14:paraId="408641E5" w14:textId="77777777" w:rsidR="00ED329F" w:rsidRPr="00F251C7" w:rsidRDefault="00ED329F" w:rsidP="00ED329F">
            <w:pPr>
              <w:rPr>
                <w:rFonts w:ascii="Century Gothic" w:hAnsi="Century Gothic"/>
                <w:b/>
                <w:sz w:val="20"/>
                <w:szCs w:val="19"/>
              </w:rPr>
            </w:pPr>
            <w:r w:rsidRPr="00F251C7">
              <w:rPr>
                <w:rFonts w:ascii="Century Gothic" w:hAnsi="Century Gothic"/>
                <w:b/>
                <w:sz w:val="20"/>
                <w:szCs w:val="19"/>
              </w:rPr>
              <w:t>Intitulé du poste</w:t>
            </w:r>
          </w:p>
        </w:tc>
        <w:tc>
          <w:tcPr>
            <w:tcW w:w="5806" w:type="dxa"/>
          </w:tcPr>
          <w:p w14:paraId="799AD1B1" w14:textId="78344908" w:rsidR="00ED329F" w:rsidRPr="00F251C7" w:rsidRDefault="00B257FA" w:rsidP="00CE0A6D">
            <w:pPr>
              <w:rPr>
                <w:rFonts w:ascii="Century Gothic" w:hAnsi="Century Gothic"/>
                <w:sz w:val="20"/>
                <w:szCs w:val="19"/>
              </w:rPr>
            </w:pPr>
            <w:r>
              <w:rPr>
                <w:rFonts w:ascii="Century Gothic" w:hAnsi="Century Gothic"/>
                <w:sz w:val="20"/>
                <w:szCs w:val="19"/>
              </w:rPr>
              <w:t>Chef(</w:t>
            </w:r>
            <w:proofErr w:type="spellStart"/>
            <w:r>
              <w:rPr>
                <w:rFonts w:ascii="Century Gothic" w:hAnsi="Century Gothic"/>
                <w:sz w:val="20"/>
                <w:szCs w:val="19"/>
              </w:rPr>
              <w:t>fe</w:t>
            </w:r>
            <w:proofErr w:type="spellEnd"/>
            <w:r>
              <w:rPr>
                <w:rFonts w:ascii="Century Gothic" w:hAnsi="Century Gothic"/>
                <w:sz w:val="20"/>
                <w:szCs w:val="19"/>
              </w:rPr>
              <w:t>) de service</w:t>
            </w:r>
            <w:r w:rsidR="00F251C7" w:rsidRPr="00F251C7">
              <w:rPr>
                <w:rFonts w:ascii="Century Gothic" w:hAnsi="Century Gothic"/>
                <w:sz w:val="20"/>
                <w:szCs w:val="19"/>
              </w:rPr>
              <w:t xml:space="preserve"> </w:t>
            </w:r>
          </w:p>
        </w:tc>
      </w:tr>
      <w:tr w:rsidR="00ED329F" w:rsidRPr="000B2B2E" w14:paraId="387FC5B9" w14:textId="77777777" w:rsidTr="00B67AE3">
        <w:tc>
          <w:tcPr>
            <w:tcW w:w="3256" w:type="dxa"/>
          </w:tcPr>
          <w:p w14:paraId="0D7CDF21" w14:textId="77777777" w:rsidR="00ED329F" w:rsidRPr="00F251C7" w:rsidRDefault="00ED329F" w:rsidP="00ED329F">
            <w:pPr>
              <w:rPr>
                <w:rFonts w:ascii="Century Gothic" w:hAnsi="Century Gothic"/>
                <w:b/>
                <w:sz w:val="20"/>
                <w:szCs w:val="19"/>
              </w:rPr>
            </w:pPr>
            <w:r w:rsidRPr="00F251C7">
              <w:rPr>
                <w:rFonts w:ascii="Century Gothic" w:hAnsi="Century Gothic"/>
                <w:b/>
                <w:sz w:val="20"/>
                <w:szCs w:val="19"/>
              </w:rPr>
              <w:t>Lieux de travail</w:t>
            </w:r>
          </w:p>
        </w:tc>
        <w:tc>
          <w:tcPr>
            <w:tcW w:w="5806" w:type="dxa"/>
          </w:tcPr>
          <w:p w14:paraId="0A88ADCA" w14:textId="64A79D67" w:rsidR="00ED329F" w:rsidRPr="00F251C7" w:rsidRDefault="00B257FA" w:rsidP="00053A40">
            <w:pPr>
              <w:rPr>
                <w:rFonts w:ascii="Century Gothic" w:hAnsi="Century Gothic"/>
                <w:sz w:val="20"/>
                <w:szCs w:val="19"/>
              </w:rPr>
            </w:pPr>
            <w:r>
              <w:rPr>
                <w:rFonts w:ascii="Century Gothic" w:hAnsi="Century Gothic"/>
                <w:sz w:val="20"/>
                <w:szCs w:val="19"/>
              </w:rPr>
              <w:t>Neuro Sainte-Anne, service SMR (</w:t>
            </w:r>
            <w:r w:rsidRPr="00B257FA">
              <w:rPr>
                <w:rFonts w:ascii="Century Gothic" w:hAnsi="Century Gothic"/>
                <w:sz w:val="20"/>
                <w:szCs w:val="19"/>
              </w:rPr>
              <w:t>DE SOINS MEDICAUX ET DE READAPTATION</w:t>
            </w:r>
            <w:r>
              <w:rPr>
                <w:rFonts w:ascii="Century Gothic" w:hAnsi="Century Gothic"/>
                <w:sz w:val="20"/>
                <w:szCs w:val="19"/>
              </w:rPr>
              <w:t>)</w:t>
            </w:r>
          </w:p>
        </w:tc>
      </w:tr>
      <w:tr w:rsidR="00ED329F" w:rsidRPr="000B2B2E" w14:paraId="15DCDED9" w14:textId="77777777" w:rsidTr="00B67AE3">
        <w:tc>
          <w:tcPr>
            <w:tcW w:w="3256" w:type="dxa"/>
          </w:tcPr>
          <w:p w14:paraId="24128BE0" w14:textId="77777777" w:rsidR="00ED329F" w:rsidRPr="00F251C7" w:rsidRDefault="00ED329F" w:rsidP="00ED329F">
            <w:pPr>
              <w:rPr>
                <w:rFonts w:ascii="Century Gothic" w:hAnsi="Century Gothic"/>
                <w:b/>
                <w:sz w:val="20"/>
                <w:szCs w:val="19"/>
              </w:rPr>
            </w:pPr>
            <w:r w:rsidRPr="00F251C7">
              <w:rPr>
                <w:rFonts w:ascii="Century Gothic" w:hAnsi="Century Gothic"/>
                <w:b/>
                <w:sz w:val="20"/>
                <w:szCs w:val="19"/>
              </w:rPr>
              <w:t xml:space="preserve">Poste à pourvoir à compter du </w:t>
            </w:r>
          </w:p>
        </w:tc>
        <w:tc>
          <w:tcPr>
            <w:tcW w:w="5806" w:type="dxa"/>
          </w:tcPr>
          <w:p w14:paraId="768CE291" w14:textId="4640BF5C" w:rsidR="00ED329F" w:rsidRPr="00F251C7" w:rsidRDefault="00F15B68" w:rsidP="00ED329F">
            <w:pPr>
              <w:rPr>
                <w:rFonts w:ascii="Century Gothic" w:hAnsi="Century Gothic"/>
                <w:sz w:val="20"/>
                <w:szCs w:val="19"/>
              </w:rPr>
            </w:pPr>
            <w:r>
              <w:rPr>
                <w:rFonts w:ascii="Century Gothic" w:hAnsi="Century Gothic"/>
                <w:sz w:val="20"/>
                <w:szCs w:val="19"/>
              </w:rPr>
              <w:t>ASAP</w:t>
            </w:r>
          </w:p>
        </w:tc>
      </w:tr>
      <w:tr w:rsidR="00ED329F" w:rsidRPr="000B2B2E" w14:paraId="363107DE" w14:textId="77777777" w:rsidTr="00390DBD">
        <w:trPr>
          <w:trHeight w:val="666"/>
        </w:trPr>
        <w:tc>
          <w:tcPr>
            <w:tcW w:w="3256" w:type="dxa"/>
          </w:tcPr>
          <w:p w14:paraId="555DDC35" w14:textId="77777777" w:rsidR="00ED329F" w:rsidRPr="00F251C7" w:rsidRDefault="00ED329F" w:rsidP="00ED329F">
            <w:pPr>
              <w:rPr>
                <w:rFonts w:ascii="Century Gothic" w:hAnsi="Century Gothic"/>
                <w:b/>
                <w:sz w:val="20"/>
                <w:szCs w:val="19"/>
              </w:rPr>
            </w:pPr>
            <w:r w:rsidRPr="00F251C7">
              <w:rPr>
                <w:rFonts w:ascii="Century Gothic" w:hAnsi="Century Gothic"/>
                <w:b/>
                <w:sz w:val="20"/>
                <w:szCs w:val="19"/>
              </w:rPr>
              <w:t>Candidatures à adresser</w:t>
            </w:r>
          </w:p>
        </w:tc>
        <w:tc>
          <w:tcPr>
            <w:tcW w:w="5806" w:type="dxa"/>
          </w:tcPr>
          <w:p w14:paraId="0DC91300" w14:textId="45C49A04" w:rsidR="00F15B68" w:rsidRDefault="00F15B68" w:rsidP="00ED329F">
            <w:pPr>
              <w:rPr>
                <w:lang w:eastAsia="fr-FR"/>
              </w:rPr>
            </w:pPr>
            <w:r w:rsidRPr="00902EAD">
              <w:rPr>
                <w:b/>
                <w:bCs/>
                <w:lang w:eastAsia="fr-FR"/>
              </w:rPr>
              <w:t>BARAT CLERC Solenne</w:t>
            </w:r>
            <w:r>
              <w:rPr>
                <w:lang w:eastAsia="fr-FR"/>
              </w:rPr>
              <w:t xml:space="preserve"> </w:t>
            </w:r>
            <w:r>
              <w:rPr>
                <w:lang w:eastAsia="fr-FR"/>
              </w:rPr>
              <w:t>– Directrice Responsable</w:t>
            </w:r>
            <w:r>
              <w:rPr>
                <w:lang w:eastAsia="fr-FR"/>
              </w:rPr>
              <w:t xml:space="preserve"> du Pôle Neuro Sainte-Anne</w:t>
            </w:r>
            <w:r>
              <w:rPr>
                <w:lang w:eastAsia="fr-FR"/>
              </w:rPr>
              <w:t xml:space="preserve"> - </w:t>
            </w:r>
            <w:hyperlink r:id="rId9" w:history="1">
              <w:r w:rsidRPr="006B25EF">
                <w:rPr>
                  <w:rStyle w:val="Lienhypertexte"/>
                  <w:lang w:eastAsia="fr-FR"/>
                </w:rPr>
                <w:t>s.barat_clerc@ghu-paris.fr</w:t>
              </w:r>
            </w:hyperlink>
            <w:r>
              <w:rPr>
                <w:lang w:eastAsia="fr-FR"/>
              </w:rPr>
              <w:br/>
            </w:r>
            <w:r w:rsidRPr="00902EAD">
              <w:rPr>
                <w:b/>
                <w:bCs/>
                <w:lang w:eastAsia="fr-FR"/>
              </w:rPr>
              <w:t xml:space="preserve">Professeur </w:t>
            </w:r>
            <w:r w:rsidRPr="00902EAD">
              <w:rPr>
                <w:b/>
                <w:bCs/>
                <w:lang w:eastAsia="fr-FR"/>
              </w:rPr>
              <w:t>SHARSHAR Tarek</w:t>
            </w:r>
            <w:r>
              <w:rPr>
                <w:lang w:eastAsia="fr-FR"/>
              </w:rPr>
              <w:t xml:space="preserve"> </w:t>
            </w:r>
            <w:r>
              <w:rPr>
                <w:lang w:eastAsia="fr-FR"/>
              </w:rPr>
              <w:t xml:space="preserve">– Chef du Pôle Neuro Sainte-Anne- </w:t>
            </w:r>
            <w:hyperlink r:id="rId10" w:history="1">
              <w:r w:rsidRPr="006B25EF">
                <w:rPr>
                  <w:rStyle w:val="Lienhypertexte"/>
                  <w:lang w:eastAsia="fr-FR"/>
                </w:rPr>
                <w:t>t.sharshar@ghu-paris.fr</w:t>
              </w:r>
            </w:hyperlink>
          </w:p>
          <w:p w14:paraId="2255678B" w14:textId="2F6A64B4" w:rsidR="00F15B68" w:rsidRDefault="00F15B68" w:rsidP="00ED329F">
            <w:pPr>
              <w:rPr>
                <w:lang w:eastAsia="fr-FR"/>
              </w:rPr>
            </w:pPr>
            <w:r>
              <w:rPr>
                <w:lang w:eastAsia="fr-FR"/>
              </w:rPr>
              <w:t>Ou Secrétariat : SAUVAGEON Marie – marie.sauvageon@ghu-paris.fr</w:t>
            </w:r>
          </w:p>
          <w:p w14:paraId="69748577" w14:textId="086ADE2F" w:rsidR="00F15B68" w:rsidRPr="00F15B68" w:rsidRDefault="00F15B68" w:rsidP="00ED329F">
            <w:pPr>
              <w:rPr>
                <w:lang w:eastAsia="fr-FR"/>
              </w:rPr>
            </w:pPr>
            <w:r w:rsidRPr="00902EAD">
              <w:rPr>
                <w:b/>
                <w:bCs/>
                <w:lang w:eastAsia="fr-FR"/>
              </w:rPr>
              <w:t>BOURGEOIS Marie Alix</w:t>
            </w:r>
            <w:r>
              <w:rPr>
                <w:lang w:eastAsia="fr-FR"/>
              </w:rPr>
              <w:t xml:space="preserve"> – Direction de la Politique médicale - </w:t>
            </w:r>
            <w:r w:rsidRPr="00F15B68">
              <w:rPr>
                <w:lang w:eastAsia="fr-FR"/>
              </w:rPr>
              <w:t xml:space="preserve">Responsable des affaires </w:t>
            </w:r>
            <w:r w:rsidR="00902EAD" w:rsidRPr="00F15B68">
              <w:rPr>
                <w:lang w:eastAsia="fr-FR"/>
              </w:rPr>
              <w:t xml:space="preserve">médicales </w:t>
            </w:r>
            <w:r w:rsidR="00902EAD">
              <w:rPr>
                <w:lang w:eastAsia="fr-FR"/>
              </w:rPr>
              <w:t>-</w:t>
            </w:r>
            <w:r>
              <w:rPr>
                <w:lang w:eastAsia="fr-FR"/>
              </w:rPr>
              <w:t xml:space="preserve"> </w:t>
            </w:r>
            <w:hyperlink r:id="rId11" w:history="1">
              <w:r>
                <w:rPr>
                  <w:rStyle w:val="Lienhypertexte"/>
                  <w:lang w:eastAsia="fr-FR"/>
                </w:rPr>
                <w:t>MA.BOURGEOIS@ghu-paris.fr</w:t>
              </w:r>
            </w:hyperlink>
          </w:p>
        </w:tc>
      </w:tr>
    </w:tbl>
    <w:p w14:paraId="12078DC4" w14:textId="77777777" w:rsidR="00342D1A" w:rsidRPr="000B2B2E" w:rsidRDefault="00342D1A" w:rsidP="00BF15B4">
      <w:pPr>
        <w:spacing w:after="0" w:line="240" w:lineRule="auto"/>
        <w:rPr>
          <w:rFonts w:ascii="Century Gothic" w:hAnsi="Century Gothic"/>
          <w:b/>
        </w:rPr>
      </w:pPr>
    </w:p>
    <w:p w14:paraId="46D661EF" w14:textId="77777777" w:rsidR="004C5CE7" w:rsidRPr="002B6E74" w:rsidRDefault="004C5CE7" w:rsidP="00B257FA">
      <w:pPr>
        <w:pStyle w:val="Titre1"/>
      </w:pPr>
      <w:r w:rsidRPr="002B6E74">
        <w:t xml:space="preserve">VOUS SOUHAITEZ REJOINDRE UN ACTEUR HOSPITALIER MAJEUR DANS LA PRISE EN CHARGE EN PSYCHIATRIE ET NEUROSCIENCES ? </w:t>
      </w:r>
    </w:p>
    <w:p w14:paraId="2977DD7A" w14:textId="77777777" w:rsidR="00C61DEC" w:rsidRPr="003C112A" w:rsidRDefault="00C61DEC" w:rsidP="00C61DEC">
      <w:pPr>
        <w:spacing w:after="0" w:line="240" w:lineRule="auto"/>
        <w:jc w:val="both"/>
        <w:rPr>
          <w:rFonts w:ascii="Century Gothic" w:hAnsi="Century Gothic"/>
          <w:color w:val="555E5E"/>
        </w:rPr>
      </w:pPr>
      <w:r w:rsidRPr="003C112A">
        <w:rPr>
          <w:rFonts w:ascii="Century Gothic" w:hAnsi="Century Gothic"/>
          <w:color w:val="555E5E"/>
        </w:rPr>
        <w:t xml:space="preserve">Le </w:t>
      </w:r>
      <w:hyperlink r:id="rId12" w:history="1">
        <w:r w:rsidRPr="003C112A">
          <w:rPr>
            <w:rStyle w:val="Lienhypertexte"/>
            <w:rFonts w:ascii="Century Gothic" w:hAnsi="Century Gothic"/>
            <w:color w:val="555E5E"/>
          </w:rPr>
          <w:t xml:space="preserve">Groupe </w:t>
        </w:r>
        <w:r>
          <w:rPr>
            <w:rStyle w:val="Lienhypertexte"/>
            <w:rFonts w:ascii="Century Gothic" w:hAnsi="Century Gothic"/>
            <w:color w:val="555E5E"/>
          </w:rPr>
          <w:t>Hospitalier U</w:t>
        </w:r>
        <w:r w:rsidRPr="003C112A">
          <w:rPr>
            <w:rStyle w:val="Lienhypertexte"/>
            <w:rFonts w:ascii="Century Gothic" w:hAnsi="Century Gothic"/>
            <w:color w:val="555E5E"/>
          </w:rPr>
          <w:t>niversitaire Paris psychiatrie &amp; neurosciences</w:t>
        </w:r>
      </w:hyperlink>
      <w:r w:rsidRPr="003C112A">
        <w:rPr>
          <w:rFonts w:ascii="Century Gothic" w:hAnsi="Century Gothic"/>
          <w:color w:val="555E5E"/>
        </w:rPr>
        <w:t xml:space="preserve"> est né le 1</w:t>
      </w:r>
      <w:r w:rsidRPr="003C112A">
        <w:rPr>
          <w:rFonts w:ascii="Century Gothic" w:hAnsi="Century Gothic"/>
          <w:color w:val="555E5E"/>
          <w:vertAlign w:val="superscript"/>
        </w:rPr>
        <w:t>er</w:t>
      </w:r>
      <w:r w:rsidRPr="003C112A">
        <w:rPr>
          <w:rFonts w:ascii="Century Gothic" w:hAnsi="Century Gothic"/>
          <w:color w:val="555E5E"/>
        </w:rPr>
        <w:t xml:space="preserve"> janvier 2019 des rapprochements des hôpitaux Sainte-Anne, Maison Blanche et Perray-Vaucluse.  </w:t>
      </w:r>
      <w:r>
        <w:rPr>
          <w:rFonts w:ascii="Century Gothic" w:hAnsi="Century Gothic"/>
          <w:color w:val="555E5E"/>
        </w:rPr>
        <w:t>Leader dans le soin, l’enseignement et la recherche portant sur les</w:t>
      </w:r>
      <w:r w:rsidRPr="003C112A">
        <w:rPr>
          <w:rFonts w:ascii="Century Gothic" w:hAnsi="Century Gothic"/>
          <w:color w:val="555E5E"/>
        </w:rPr>
        <w:t xml:space="preserve"> maladies mentales et </w:t>
      </w:r>
      <w:r>
        <w:rPr>
          <w:rFonts w:ascii="Century Gothic" w:hAnsi="Century Gothic"/>
          <w:color w:val="555E5E"/>
        </w:rPr>
        <w:t>le</w:t>
      </w:r>
      <w:r w:rsidRPr="003C112A">
        <w:rPr>
          <w:rFonts w:ascii="Century Gothic" w:hAnsi="Century Gothic"/>
          <w:color w:val="555E5E"/>
        </w:rPr>
        <w:t xml:space="preserve"> système nerveux, </w:t>
      </w:r>
      <w:r>
        <w:rPr>
          <w:rFonts w:ascii="Century Gothic" w:hAnsi="Century Gothic"/>
          <w:color w:val="555E5E"/>
        </w:rPr>
        <w:t>le GHU Paris</w:t>
      </w:r>
      <w:r w:rsidRPr="003C112A">
        <w:rPr>
          <w:rFonts w:ascii="Century Gothic" w:hAnsi="Century Gothic"/>
          <w:color w:val="555E5E"/>
        </w:rPr>
        <w:t xml:space="preserve"> </w:t>
      </w:r>
      <w:r>
        <w:rPr>
          <w:rFonts w:ascii="Century Gothic" w:hAnsi="Century Gothic"/>
          <w:color w:val="555E5E"/>
        </w:rPr>
        <w:t xml:space="preserve">emploie </w:t>
      </w:r>
      <w:r w:rsidRPr="003C112A">
        <w:rPr>
          <w:rFonts w:ascii="Century Gothic" w:hAnsi="Century Gothic"/>
          <w:color w:val="555E5E"/>
        </w:rPr>
        <w:t xml:space="preserve">5600 </w:t>
      </w:r>
      <w:r>
        <w:rPr>
          <w:rFonts w:ascii="Century Gothic" w:hAnsi="Century Gothic"/>
          <w:color w:val="555E5E"/>
        </w:rPr>
        <w:t>hospitaliers répartis dans 100 sites parisiens, ainsi que des unités à dimension médico-sociale dans le 91 et le 93</w:t>
      </w:r>
      <w:r w:rsidRPr="003C112A">
        <w:rPr>
          <w:rFonts w:ascii="Century Gothic" w:hAnsi="Century Gothic"/>
          <w:color w:val="555E5E"/>
        </w:rPr>
        <w:t xml:space="preserve">. </w:t>
      </w:r>
    </w:p>
    <w:p w14:paraId="76784804" w14:textId="77777777" w:rsidR="00C61DEC" w:rsidRPr="007C2936" w:rsidRDefault="00C61DEC" w:rsidP="00C61DEC">
      <w:pPr>
        <w:spacing w:after="0" w:line="240" w:lineRule="auto"/>
        <w:jc w:val="both"/>
        <w:rPr>
          <w:rStyle w:val="Lienhypertexte"/>
          <w:rFonts w:ascii="Century Gothic" w:hAnsi="Century Gothic"/>
          <w:color w:val="555E5E"/>
          <w:u w:val="none"/>
        </w:rPr>
      </w:pPr>
      <w:r w:rsidRPr="003C112A">
        <w:rPr>
          <w:rFonts w:ascii="Century Gothic" w:hAnsi="Century Gothic"/>
          <w:color w:val="555E5E"/>
        </w:rPr>
        <w:t>Le GHU Paris assure la prise en charge de proximité, de recours et de spécialité des Parisiens dans toutes les disciplines associées à la santé mentale et au cerveau au sein de 170 structures réparties dans la capitale.</w:t>
      </w:r>
      <w:r>
        <w:rPr>
          <w:rFonts w:ascii="Century Gothic" w:hAnsi="Century Gothic"/>
          <w:color w:val="555E5E"/>
        </w:rPr>
        <w:t xml:space="preserve">  </w:t>
      </w:r>
      <w:hyperlink r:id="rId13" w:history="1">
        <w:r w:rsidRPr="007C2936">
          <w:rPr>
            <w:rStyle w:val="Lienhypertexte"/>
            <w:rFonts w:ascii="Century Gothic" w:hAnsi="Century Gothic"/>
          </w:rPr>
          <w:t>2 ‘ chrono pour connaître le GHU Paris en images animées </w:t>
        </w:r>
      </w:hyperlink>
    </w:p>
    <w:p w14:paraId="7F6FB237" w14:textId="77777777" w:rsidR="00C61DEC" w:rsidRDefault="00A710B7" w:rsidP="00C61DEC">
      <w:pPr>
        <w:spacing w:after="0" w:line="240" w:lineRule="auto"/>
        <w:jc w:val="both"/>
        <w:rPr>
          <w:rStyle w:val="Lienhypertexte"/>
          <w:rFonts w:ascii="Century Gothic" w:hAnsi="Century Gothic"/>
          <w:color w:val="555E5E"/>
        </w:rPr>
      </w:pPr>
      <w:hyperlink r:id="rId14" w:history="1">
        <w:r w:rsidR="00C61DEC" w:rsidRPr="00FA5A0E">
          <w:rPr>
            <w:rStyle w:val="Lienhypertexte"/>
            <w:rFonts w:ascii="Century Gothic" w:hAnsi="Century Gothic"/>
          </w:rPr>
          <w:t>www.ghu-paris.fr</w:t>
        </w:r>
      </w:hyperlink>
      <w:r w:rsidR="00C61DEC">
        <w:rPr>
          <w:rStyle w:val="Lienhypertexte"/>
          <w:rFonts w:ascii="Century Gothic" w:hAnsi="Century Gothic"/>
          <w:color w:val="555E5E"/>
        </w:rPr>
        <w:t xml:space="preserve"> / </w:t>
      </w:r>
      <w:proofErr w:type="spellStart"/>
      <w:r w:rsidR="00C61DEC">
        <w:rPr>
          <w:rStyle w:val="Lienhypertexte"/>
          <w:rFonts w:ascii="Century Gothic" w:hAnsi="Century Gothic"/>
          <w:color w:val="555E5E"/>
        </w:rPr>
        <w:t>Linkedn</w:t>
      </w:r>
      <w:proofErr w:type="spellEnd"/>
      <w:r w:rsidR="00C61DEC">
        <w:rPr>
          <w:rStyle w:val="Lienhypertexte"/>
          <w:rFonts w:ascii="Century Gothic" w:hAnsi="Century Gothic"/>
          <w:color w:val="555E5E"/>
        </w:rPr>
        <w:t xml:space="preserve"> </w:t>
      </w:r>
      <w:hyperlink r:id="rId15" w:history="1">
        <w:proofErr w:type="spellStart"/>
        <w:r w:rsidR="00C61DEC" w:rsidRPr="007C2936">
          <w:rPr>
            <w:rStyle w:val="Lienhypertexte"/>
            <w:rFonts w:ascii="Century Gothic" w:hAnsi="Century Gothic"/>
          </w:rPr>
          <w:t>Ghu</w:t>
        </w:r>
        <w:proofErr w:type="spellEnd"/>
        <w:r w:rsidR="00C61DEC" w:rsidRPr="007C2936">
          <w:rPr>
            <w:rStyle w:val="Lienhypertexte"/>
            <w:rFonts w:ascii="Century Gothic" w:hAnsi="Century Gothic"/>
          </w:rPr>
          <w:t xml:space="preserve"> Paris</w:t>
        </w:r>
      </w:hyperlink>
      <w:r w:rsidR="00C61DEC">
        <w:rPr>
          <w:rStyle w:val="Lienhypertexte"/>
          <w:rFonts w:ascii="Century Gothic" w:hAnsi="Century Gothic"/>
          <w:color w:val="555E5E"/>
        </w:rPr>
        <w:t xml:space="preserve"> / Twitter @GhuParis</w:t>
      </w:r>
    </w:p>
    <w:p w14:paraId="6E3E4C3F" w14:textId="616D10CA" w:rsidR="00FF0D83" w:rsidRPr="00390DBD" w:rsidRDefault="00C61DEC" w:rsidP="00AB106A">
      <w:pPr>
        <w:spacing w:after="0" w:line="240" w:lineRule="auto"/>
        <w:jc w:val="both"/>
        <w:rPr>
          <w:rStyle w:val="Lienhypertexte"/>
          <w:rFonts w:ascii="Century Gothic" w:hAnsi="Century Gothic"/>
          <w:color w:val="555E5E"/>
          <w:u w:val="none"/>
        </w:rPr>
      </w:pPr>
      <w:r w:rsidRPr="007C2936">
        <w:rPr>
          <w:rFonts w:ascii="Century Gothic" w:hAnsi="Century Gothic"/>
          <w:b/>
          <w:color w:val="555E5E"/>
        </w:rPr>
        <w:t>Siège</w:t>
      </w:r>
      <w:r w:rsidRPr="007C2936">
        <w:rPr>
          <w:rFonts w:ascii="Century Gothic" w:hAnsi="Century Gothic"/>
          <w:color w:val="555E5E"/>
        </w:rPr>
        <w:t> : Site Sainte-Anne, 1 rue Cabanis 75014</w:t>
      </w:r>
      <w:r>
        <w:rPr>
          <w:rFonts w:ascii="Century Gothic" w:hAnsi="Century Gothic"/>
          <w:color w:val="555E5E"/>
        </w:rPr>
        <w:t xml:space="preserve"> Paris</w:t>
      </w:r>
    </w:p>
    <w:p w14:paraId="670003F2" w14:textId="77777777" w:rsidR="00053A40" w:rsidRDefault="00053A40" w:rsidP="00C61DEC">
      <w:pPr>
        <w:spacing w:after="0" w:line="240" w:lineRule="auto"/>
        <w:rPr>
          <w:rFonts w:ascii="Century Gothic" w:eastAsia="Times New Roman" w:hAnsi="Century Gothic" w:cs="Times New Roman"/>
          <w:b/>
          <w:bCs/>
          <w:color w:val="008080"/>
          <w:sz w:val="20"/>
          <w:szCs w:val="20"/>
          <w:lang w:eastAsia="fr-FR"/>
        </w:rPr>
      </w:pPr>
    </w:p>
    <w:p w14:paraId="06A44CE2" w14:textId="77777777" w:rsidR="00FF0D83" w:rsidRPr="00C61DEC" w:rsidRDefault="00FF0D83" w:rsidP="00B257FA">
      <w:pPr>
        <w:pStyle w:val="Titre1"/>
      </w:pPr>
      <w:r w:rsidRPr="002B6E74">
        <w:t xml:space="preserve">ÊTRE </w:t>
      </w:r>
      <w:r w:rsidR="00EB1B4C">
        <w:t>MEDECIN</w:t>
      </w:r>
      <w:r w:rsidRPr="002B6E74">
        <w:t xml:space="preserve"> AU SEIN DU GHU PARIS</w:t>
      </w:r>
    </w:p>
    <w:p w14:paraId="68263824" w14:textId="77777777" w:rsidR="009308C9" w:rsidRPr="003C112A" w:rsidRDefault="009308C9" w:rsidP="00AB106A">
      <w:pPr>
        <w:spacing w:after="0" w:line="240" w:lineRule="auto"/>
        <w:jc w:val="both"/>
        <w:rPr>
          <w:rFonts w:ascii="Century Gothic" w:hAnsi="Century Gothic"/>
          <w:color w:val="555E5E"/>
        </w:rPr>
      </w:pPr>
      <w:r>
        <w:rPr>
          <w:rFonts w:ascii="Century Gothic" w:hAnsi="Century Gothic"/>
          <w:color w:val="555E5E"/>
        </w:rPr>
        <w:t xml:space="preserve">Envie d’en découvrir plus ? Vous trouverez en </w:t>
      </w:r>
      <w:hyperlink r:id="rId16" w:history="1">
        <w:r w:rsidRPr="009308C9">
          <w:rPr>
            <w:rStyle w:val="Lienhypertexte"/>
            <w:rFonts w:ascii="Century Gothic" w:hAnsi="Century Gothic"/>
          </w:rPr>
          <w:t>&gt;&gt;cliquant ici&lt;&lt;</w:t>
        </w:r>
      </w:hyperlink>
      <w:r>
        <w:rPr>
          <w:rFonts w:ascii="Century Gothic" w:hAnsi="Century Gothic"/>
          <w:color w:val="555E5E"/>
        </w:rPr>
        <w:t xml:space="preserve"> les témoignages des soignants du GHU Paris. </w:t>
      </w:r>
    </w:p>
    <w:p w14:paraId="06ECAFA2" w14:textId="77777777" w:rsidR="00053A40" w:rsidRDefault="00053A40" w:rsidP="00BF15B4">
      <w:pPr>
        <w:spacing w:after="0" w:line="240" w:lineRule="auto"/>
        <w:rPr>
          <w:rFonts w:ascii="Century Gothic" w:eastAsia="Times New Roman" w:hAnsi="Century Gothic" w:cs="Times New Roman"/>
          <w:b/>
          <w:bCs/>
          <w:color w:val="008080"/>
          <w:sz w:val="20"/>
          <w:szCs w:val="20"/>
          <w:lang w:eastAsia="fr-FR"/>
        </w:rPr>
      </w:pPr>
    </w:p>
    <w:p w14:paraId="6BBF7A31" w14:textId="314724C0" w:rsidR="00B257FA" w:rsidRDefault="00B257FA" w:rsidP="00B257FA">
      <w:pPr>
        <w:pStyle w:val="Titre1"/>
      </w:pPr>
      <w:r w:rsidRPr="00B257FA">
        <w:lastRenderedPageBreak/>
        <w:t>PRESENTATION DU POLE NEURO-SAINTE-ANNE</w:t>
      </w:r>
    </w:p>
    <w:p w14:paraId="44916E46" w14:textId="77777777" w:rsidR="00B257FA" w:rsidRPr="000666D0" w:rsidRDefault="00B257FA" w:rsidP="00B257FA">
      <w:pPr>
        <w:spacing w:after="0" w:line="240" w:lineRule="auto"/>
        <w:jc w:val="both"/>
        <w:rPr>
          <w:rFonts w:ascii="Century Gothic" w:eastAsia="Times New Roman" w:hAnsi="Century Gothic" w:cs="Times New Roman"/>
          <w:bCs/>
          <w:sz w:val="20"/>
          <w:szCs w:val="20"/>
          <w:lang w:eastAsia="fr-FR"/>
        </w:rPr>
      </w:pPr>
      <w:r w:rsidRPr="000666D0">
        <w:rPr>
          <w:rFonts w:ascii="Century Gothic" w:eastAsia="Times New Roman" w:hAnsi="Century Gothic" w:cs="Times New Roman"/>
          <w:bCs/>
          <w:sz w:val="20"/>
          <w:szCs w:val="20"/>
          <w:lang w:eastAsia="fr-FR"/>
        </w:rPr>
        <w:t>Le pôle Neuro Sainte-Anne a développé une offre de soins de proximité et de recours pour l’ensemble des pathologies du système nerveux. Il est le pôle des « neurosciences adultes » des établissements de l’Université Paris Cité. Le pôle est composé des services suivants :</w:t>
      </w:r>
    </w:p>
    <w:p w14:paraId="1A404DDF" w14:textId="77777777" w:rsidR="00B257FA" w:rsidRPr="000666D0" w:rsidRDefault="00B257FA" w:rsidP="00B257FA">
      <w:pPr>
        <w:pStyle w:val="Paragraphedeliste"/>
        <w:numPr>
          <w:ilvl w:val="0"/>
          <w:numId w:val="21"/>
        </w:numPr>
        <w:spacing w:after="0" w:line="240" w:lineRule="auto"/>
        <w:jc w:val="both"/>
        <w:rPr>
          <w:rFonts w:ascii="Century Gothic" w:eastAsia="Times New Roman" w:hAnsi="Century Gothic" w:cs="Times New Roman"/>
          <w:bCs/>
          <w:sz w:val="20"/>
          <w:szCs w:val="20"/>
          <w:lang w:eastAsia="fr-FR"/>
        </w:rPr>
      </w:pPr>
      <w:r w:rsidRPr="000666D0">
        <w:rPr>
          <w:rFonts w:ascii="Century Gothic" w:eastAsia="Times New Roman" w:hAnsi="Century Gothic" w:cs="Times New Roman"/>
          <w:bCs/>
          <w:sz w:val="20"/>
          <w:szCs w:val="20"/>
          <w:lang w:eastAsia="fr-FR"/>
        </w:rPr>
        <w:t>Un service hospitalo-universitaire de neurologie avec une Unité Neuro-Vasculaire (UNV) de recours et de soins intensifs (USINV), une unité de neurologie générale et un hôpital de jour ;</w:t>
      </w:r>
    </w:p>
    <w:p w14:paraId="2FF820B4" w14:textId="77777777" w:rsidR="00B257FA" w:rsidRPr="000666D0" w:rsidRDefault="00B257FA" w:rsidP="00B257FA">
      <w:pPr>
        <w:pStyle w:val="Paragraphedeliste"/>
        <w:numPr>
          <w:ilvl w:val="0"/>
          <w:numId w:val="21"/>
        </w:numPr>
        <w:spacing w:after="0" w:line="240" w:lineRule="auto"/>
        <w:jc w:val="both"/>
        <w:rPr>
          <w:rFonts w:ascii="Century Gothic" w:eastAsia="Times New Roman" w:hAnsi="Century Gothic" w:cs="Times New Roman"/>
          <w:bCs/>
          <w:sz w:val="20"/>
          <w:szCs w:val="20"/>
          <w:lang w:eastAsia="fr-FR"/>
        </w:rPr>
      </w:pPr>
      <w:r w:rsidRPr="000666D0">
        <w:rPr>
          <w:rFonts w:ascii="Century Gothic" w:eastAsia="Times New Roman" w:hAnsi="Century Gothic" w:cs="Times New Roman"/>
          <w:bCs/>
          <w:sz w:val="20"/>
          <w:szCs w:val="20"/>
          <w:lang w:eastAsia="fr-FR"/>
        </w:rPr>
        <w:t>Un service hospitalo-universitaire de la neurologie de la mémoire et du langage ;</w:t>
      </w:r>
    </w:p>
    <w:p w14:paraId="5D0B782C" w14:textId="77777777" w:rsidR="00B257FA" w:rsidRPr="000666D0" w:rsidRDefault="00B257FA" w:rsidP="00B257FA">
      <w:pPr>
        <w:pStyle w:val="Paragraphedeliste"/>
        <w:numPr>
          <w:ilvl w:val="0"/>
          <w:numId w:val="21"/>
        </w:numPr>
        <w:spacing w:after="0" w:line="240" w:lineRule="auto"/>
        <w:rPr>
          <w:rFonts w:ascii="Century Gothic" w:eastAsia="Times New Roman" w:hAnsi="Century Gothic" w:cs="Times New Roman"/>
          <w:bCs/>
          <w:sz w:val="20"/>
          <w:szCs w:val="20"/>
          <w:lang w:eastAsia="fr-FR"/>
        </w:rPr>
      </w:pPr>
      <w:r w:rsidRPr="000666D0">
        <w:rPr>
          <w:rFonts w:ascii="Century Gothic" w:eastAsia="Times New Roman" w:hAnsi="Century Gothic" w:cs="Times New Roman"/>
          <w:bCs/>
          <w:sz w:val="20"/>
          <w:szCs w:val="20"/>
          <w:lang w:eastAsia="fr-FR"/>
        </w:rPr>
        <w:t>Un service hospitalo-universitaire de neurochirurgie avec une activité de neurochirurgie générale de l’adulte et des surspécialités en neurochirurgie fonctionnelle, en neuro-oncologie, en épileptologie chirurgicale et en douleurs pharmaco résistantes ;</w:t>
      </w:r>
    </w:p>
    <w:p w14:paraId="1C0E2793" w14:textId="77777777" w:rsidR="00B257FA" w:rsidRPr="000666D0" w:rsidRDefault="00B257FA" w:rsidP="00B257FA">
      <w:pPr>
        <w:pStyle w:val="Paragraphedeliste"/>
        <w:numPr>
          <w:ilvl w:val="0"/>
          <w:numId w:val="21"/>
        </w:numPr>
        <w:spacing w:after="0" w:line="240" w:lineRule="auto"/>
        <w:jc w:val="both"/>
        <w:rPr>
          <w:rFonts w:ascii="Century Gothic" w:eastAsia="Times New Roman" w:hAnsi="Century Gothic" w:cs="Times New Roman"/>
          <w:bCs/>
          <w:sz w:val="20"/>
          <w:szCs w:val="20"/>
          <w:lang w:eastAsia="fr-FR"/>
        </w:rPr>
      </w:pPr>
      <w:r w:rsidRPr="000666D0">
        <w:rPr>
          <w:rFonts w:ascii="Century Gothic" w:eastAsia="Times New Roman" w:hAnsi="Century Gothic" w:cs="Times New Roman"/>
          <w:bCs/>
          <w:sz w:val="20"/>
          <w:szCs w:val="20"/>
          <w:lang w:eastAsia="fr-FR"/>
        </w:rPr>
        <w:t>Un service hospitalo-universitaire de neuro-anesthésie-réanimation et de surveillance continue avec une SSPI et un plateau d’ECT ;</w:t>
      </w:r>
    </w:p>
    <w:p w14:paraId="6610E1FB" w14:textId="475CC4B9" w:rsidR="00B257FA" w:rsidRPr="003D4167" w:rsidRDefault="00B257FA" w:rsidP="00B257FA">
      <w:pPr>
        <w:pStyle w:val="Paragraphedeliste"/>
        <w:numPr>
          <w:ilvl w:val="0"/>
          <w:numId w:val="21"/>
        </w:numPr>
        <w:spacing w:after="0" w:line="240" w:lineRule="auto"/>
        <w:jc w:val="both"/>
        <w:rPr>
          <w:rFonts w:ascii="Century Gothic" w:eastAsia="Times New Roman" w:hAnsi="Century Gothic" w:cs="Times New Roman"/>
          <w:bCs/>
          <w:sz w:val="20"/>
          <w:szCs w:val="20"/>
          <w:lang w:eastAsia="fr-FR"/>
        </w:rPr>
      </w:pPr>
      <w:r w:rsidRPr="003D4167">
        <w:rPr>
          <w:rFonts w:ascii="Century Gothic" w:eastAsia="Times New Roman" w:hAnsi="Century Gothic" w:cs="Times New Roman"/>
          <w:bCs/>
          <w:sz w:val="20"/>
          <w:szCs w:val="20"/>
          <w:lang w:eastAsia="fr-FR"/>
        </w:rPr>
        <w:t>Un service de soins médicaux de réadaptation (MPR) neurologique avec</w:t>
      </w:r>
      <w:r>
        <w:rPr>
          <w:rFonts w:ascii="Century Gothic" w:eastAsia="Times New Roman" w:hAnsi="Century Gothic" w:cs="Times New Roman"/>
          <w:bCs/>
          <w:sz w:val="20"/>
          <w:szCs w:val="20"/>
          <w:lang w:eastAsia="fr-FR"/>
        </w:rPr>
        <w:t xml:space="preserve"> plusieurs unités dont </w:t>
      </w:r>
      <w:r w:rsidRPr="003D4167">
        <w:rPr>
          <w:rFonts w:ascii="Century Gothic" w:eastAsia="Times New Roman" w:hAnsi="Century Gothic" w:cs="Times New Roman"/>
          <w:bCs/>
          <w:sz w:val="20"/>
          <w:szCs w:val="20"/>
          <w:lang w:eastAsia="fr-FR"/>
        </w:rPr>
        <w:t xml:space="preserve">une unité </w:t>
      </w:r>
      <w:r>
        <w:rPr>
          <w:rFonts w:ascii="Century Gothic" w:eastAsia="Times New Roman" w:hAnsi="Century Gothic" w:cs="Times New Roman"/>
          <w:bCs/>
          <w:sz w:val="20"/>
          <w:szCs w:val="20"/>
          <w:lang w:eastAsia="fr-FR"/>
        </w:rPr>
        <w:t xml:space="preserve">de </w:t>
      </w:r>
      <w:r w:rsidRPr="003D4167">
        <w:rPr>
          <w:rFonts w:ascii="Century Gothic" w:eastAsia="Times New Roman" w:hAnsi="Century Gothic" w:cs="Times New Roman"/>
          <w:bCs/>
          <w:sz w:val="20"/>
          <w:szCs w:val="20"/>
          <w:lang w:eastAsia="fr-FR"/>
        </w:rPr>
        <w:t>de rééducation post-réanimation</w:t>
      </w:r>
      <w:r>
        <w:rPr>
          <w:rFonts w:ascii="Century Gothic" w:eastAsia="Times New Roman" w:hAnsi="Century Gothic" w:cs="Times New Roman"/>
          <w:bCs/>
          <w:sz w:val="20"/>
          <w:szCs w:val="20"/>
          <w:lang w:eastAsia="fr-FR"/>
        </w:rPr>
        <w:t>,</w:t>
      </w:r>
    </w:p>
    <w:p w14:paraId="30BA4123" w14:textId="77777777" w:rsidR="00B257FA" w:rsidRPr="000666D0" w:rsidRDefault="00B257FA" w:rsidP="00B257FA">
      <w:pPr>
        <w:pStyle w:val="Paragraphedeliste"/>
        <w:numPr>
          <w:ilvl w:val="0"/>
          <w:numId w:val="21"/>
        </w:numPr>
        <w:spacing w:after="0" w:line="240" w:lineRule="auto"/>
        <w:jc w:val="both"/>
        <w:rPr>
          <w:rFonts w:ascii="Century Gothic" w:eastAsia="Times New Roman" w:hAnsi="Century Gothic" w:cs="Times New Roman"/>
          <w:bCs/>
          <w:sz w:val="20"/>
          <w:szCs w:val="20"/>
          <w:lang w:eastAsia="fr-FR"/>
        </w:rPr>
      </w:pPr>
      <w:r w:rsidRPr="000666D0">
        <w:rPr>
          <w:rFonts w:ascii="Century Gothic" w:eastAsia="Times New Roman" w:hAnsi="Century Gothic" w:cs="Times New Roman"/>
          <w:bCs/>
          <w:sz w:val="20"/>
          <w:szCs w:val="20"/>
          <w:lang w:eastAsia="fr-FR"/>
        </w:rPr>
        <w:t>Un service hospitalo-universitaire de neurophysiologie ;</w:t>
      </w:r>
    </w:p>
    <w:p w14:paraId="7461A537" w14:textId="77777777" w:rsidR="00B257FA" w:rsidRPr="000666D0" w:rsidRDefault="00B257FA" w:rsidP="00B257FA">
      <w:pPr>
        <w:pStyle w:val="Paragraphedeliste"/>
        <w:numPr>
          <w:ilvl w:val="0"/>
          <w:numId w:val="21"/>
        </w:numPr>
        <w:spacing w:after="0" w:line="240" w:lineRule="auto"/>
        <w:jc w:val="both"/>
        <w:rPr>
          <w:rFonts w:ascii="Century Gothic" w:eastAsia="Times New Roman" w:hAnsi="Century Gothic" w:cs="Times New Roman"/>
          <w:bCs/>
          <w:sz w:val="20"/>
          <w:szCs w:val="20"/>
          <w:lang w:eastAsia="fr-FR"/>
        </w:rPr>
      </w:pPr>
      <w:r w:rsidRPr="000666D0">
        <w:rPr>
          <w:rFonts w:ascii="Century Gothic" w:eastAsia="Times New Roman" w:hAnsi="Century Gothic" w:cs="Times New Roman"/>
          <w:bCs/>
          <w:sz w:val="20"/>
          <w:szCs w:val="20"/>
          <w:lang w:eastAsia="fr-FR"/>
        </w:rPr>
        <w:t>Des consultations spécialisées tête et cou (ORL, ophtalmologie, dentaire et dermatologie) ;</w:t>
      </w:r>
    </w:p>
    <w:p w14:paraId="610C3673" w14:textId="77777777" w:rsidR="00B257FA" w:rsidRPr="000666D0" w:rsidRDefault="00B257FA" w:rsidP="00B257FA">
      <w:pPr>
        <w:pStyle w:val="Paragraphedeliste"/>
        <w:numPr>
          <w:ilvl w:val="0"/>
          <w:numId w:val="21"/>
        </w:numPr>
        <w:shd w:val="clear" w:color="auto" w:fill="FFFFFF"/>
        <w:spacing w:after="0" w:line="240" w:lineRule="auto"/>
        <w:jc w:val="both"/>
        <w:rPr>
          <w:rFonts w:ascii="Century Gothic" w:eastAsia="Times New Roman" w:hAnsi="Century Gothic" w:cs="Times New Roman"/>
          <w:bCs/>
          <w:sz w:val="20"/>
          <w:szCs w:val="20"/>
          <w:lang w:eastAsia="fr-FR"/>
        </w:rPr>
      </w:pPr>
      <w:r w:rsidRPr="000666D0">
        <w:rPr>
          <w:rFonts w:ascii="Century Gothic" w:eastAsia="Times New Roman" w:hAnsi="Century Gothic" w:cs="Times New Roman"/>
          <w:bCs/>
          <w:sz w:val="20"/>
          <w:szCs w:val="20"/>
          <w:lang w:eastAsia="fr-FR"/>
        </w:rPr>
        <w:t>Un service hospitalo-universitaire de neuropathologie</w:t>
      </w:r>
      <w:r w:rsidRPr="000666D0">
        <w:rPr>
          <w:rFonts w:ascii="Century Gothic" w:eastAsia="Times New Roman" w:hAnsi="Century Gothic" w:cs="Arial"/>
          <w:sz w:val="20"/>
          <w:szCs w:val="20"/>
          <w:lang w:eastAsia="fr-FR"/>
        </w:rPr>
        <w:t>, avec une activité de diagnostic, de recherche et d’enseignement en pathologie neurochirurgicale adulte et pédiatrique et en neuropathologie post-mortem et médico-légale ;</w:t>
      </w:r>
    </w:p>
    <w:p w14:paraId="2C91C334" w14:textId="77777777" w:rsidR="00B257FA" w:rsidRPr="000666D0" w:rsidRDefault="00B257FA" w:rsidP="00B257FA">
      <w:pPr>
        <w:pStyle w:val="Paragraphedeliste"/>
        <w:numPr>
          <w:ilvl w:val="0"/>
          <w:numId w:val="21"/>
        </w:numPr>
        <w:spacing w:after="0" w:line="240" w:lineRule="auto"/>
        <w:rPr>
          <w:rFonts w:ascii="Century Gothic" w:eastAsia="Times New Roman" w:hAnsi="Century Gothic" w:cs="Times New Roman"/>
          <w:bCs/>
          <w:sz w:val="20"/>
          <w:szCs w:val="20"/>
          <w:lang w:eastAsia="fr-FR"/>
        </w:rPr>
      </w:pPr>
      <w:r w:rsidRPr="000666D0">
        <w:rPr>
          <w:rFonts w:ascii="Century Gothic" w:eastAsia="Times New Roman" w:hAnsi="Century Gothic" w:cs="Times New Roman"/>
          <w:bCs/>
          <w:sz w:val="20"/>
          <w:szCs w:val="20"/>
          <w:lang w:eastAsia="fr-FR"/>
        </w:rPr>
        <w:t>Un service hospitalo-universitaire d’imagerie diagnostique et thérapeutique.</w:t>
      </w:r>
    </w:p>
    <w:p w14:paraId="13C0923B" w14:textId="77777777" w:rsidR="00B257FA" w:rsidRDefault="00B257FA" w:rsidP="00B257FA">
      <w:pPr>
        <w:pStyle w:val="Titre1"/>
      </w:pPr>
    </w:p>
    <w:p w14:paraId="4CBFDB65" w14:textId="34A0B15A" w:rsidR="00B257FA" w:rsidRPr="00B257FA" w:rsidRDefault="00B257FA" w:rsidP="00B257FA">
      <w:pPr>
        <w:pStyle w:val="Titre1"/>
      </w:pPr>
      <w:r w:rsidRPr="00B257FA">
        <w:t>PRESENTATION DU SERVICE DE SOINS MEDICAUX ET DE READAPTATION</w:t>
      </w:r>
    </w:p>
    <w:p w14:paraId="272BE4E0" w14:textId="77777777" w:rsidR="00B257FA" w:rsidRPr="000666D0" w:rsidRDefault="00B257FA" w:rsidP="00B257FA">
      <w:pPr>
        <w:spacing w:after="0" w:line="240" w:lineRule="auto"/>
        <w:jc w:val="both"/>
        <w:rPr>
          <w:rFonts w:ascii="Century Gothic" w:hAnsi="Century Gothic"/>
          <w:bCs/>
          <w:sz w:val="20"/>
          <w:szCs w:val="20"/>
        </w:rPr>
      </w:pPr>
      <w:r>
        <w:rPr>
          <w:rFonts w:ascii="Century Gothic" w:eastAsia="Times New Roman" w:hAnsi="Century Gothic" w:cs="Times New Roman"/>
          <w:sz w:val="20"/>
          <w:szCs w:val="20"/>
          <w:lang w:eastAsia="fr-FR"/>
        </w:rPr>
        <w:t>Installé</w:t>
      </w:r>
      <w:r w:rsidRPr="000666D0">
        <w:rPr>
          <w:rFonts w:ascii="Century Gothic" w:eastAsia="Times New Roman" w:hAnsi="Century Gothic" w:cs="Times New Roman"/>
          <w:sz w:val="20"/>
          <w:szCs w:val="20"/>
          <w:lang w:eastAsia="fr-FR"/>
        </w:rPr>
        <w:t xml:space="preserve"> a</w:t>
      </w:r>
      <w:r w:rsidRPr="000666D0">
        <w:rPr>
          <w:rFonts w:ascii="Century Gothic" w:hAnsi="Century Gothic"/>
          <w:bCs/>
          <w:sz w:val="20"/>
          <w:szCs w:val="20"/>
        </w:rPr>
        <w:t>u sein d’un pôle disposant de services de médecine et de chirurgie de recours dans les pathologies du système nerveux central, le service de soins médicaux et de réadaptation prend en charge</w:t>
      </w:r>
      <w:r>
        <w:rPr>
          <w:rFonts w:ascii="Century Gothic" w:hAnsi="Century Gothic"/>
          <w:bCs/>
          <w:sz w:val="20"/>
          <w:szCs w:val="20"/>
        </w:rPr>
        <w:t xml:space="preserve"> l</w:t>
      </w:r>
      <w:r w:rsidRPr="000666D0">
        <w:rPr>
          <w:rFonts w:ascii="Century Gothic" w:hAnsi="Century Gothic"/>
          <w:bCs/>
          <w:sz w:val="20"/>
          <w:szCs w:val="20"/>
        </w:rPr>
        <w:t xml:space="preserve">es patients présentant </w:t>
      </w:r>
      <w:r>
        <w:rPr>
          <w:rFonts w:ascii="Century Gothic" w:hAnsi="Century Gothic"/>
          <w:bCs/>
          <w:sz w:val="20"/>
          <w:szCs w:val="20"/>
        </w:rPr>
        <w:t>tout type d’</w:t>
      </w:r>
      <w:r w:rsidRPr="000666D0">
        <w:rPr>
          <w:rFonts w:ascii="Century Gothic" w:hAnsi="Century Gothic"/>
          <w:bCs/>
          <w:sz w:val="20"/>
          <w:szCs w:val="20"/>
        </w:rPr>
        <w:t xml:space="preserve">handicap </w:t>
      </w:r>
      <w:proofErr w:type="spellStart"/>
      <w:r w:rsidRPr="000666D0">
        <w:rPr>
          <w:rFonts w:ascii="Century Gothic" w:hAnsi="Century Gothic"/>
          <w:bCs/>
          <w:sz w:val="20"/>
          <w:szCs w:val="20"/>
        </w:rPr>
        <w:t>neur</w:t>
      </w:r>
      <w:r>
        <w:rPr>
          <w:rFonts w:ascii="Century Gothic" w:hAnsi="Century Gothic"/>
          <w:bCs/>
          <w:sz w:val="20"/>
          <w:szCs w:val="20"/>
        </w:rPr>
        <w:t>o-moteur</w:t>
      </w:r>
      <w:proofErr w:type="spellEnd"/>
      <w:r>
        <w:rPr>
          <w:rFonts w:ascii="Century Gothic" w:hAnsi="Century Gothic"/>
          <w:bCs/>
          <w:sz w:val="20"/>
          <w:szCs w:val="20"/>
        </w:rPr>
        <w:t xml:space="preserve"> </w:t>
      </w:r>
      <w:r w:rsidRPr="000666D0">
        <w:rPr>
          <w:rFonts w:ascii="Century Gothic" w:hAnsi="Century Gothic"/>
          <w:bCs/>
          <w:sz w:val="20"/>
          <w:szCs w:val="20"/>
        </w:rPr>
        <w:t>et/ou cognitif</w:t>
      </w:r>
      <w:r>
        <w:rPr>
          <w:rFonts w:ascii="Century Gothic" w:hAnsi="Century Gothic"/>
          <w:bCs/>
          <w:sz w:val="20"/>
          <w:szCs w:val="20"/>
        </w:rPr>
        <w:t>. S’il assure sur ses unités de SRPR et d’hospitalisation complète conventionnelle l’aval des services du Pôle Neuro-Sainte-Anne, il accueille en ambulatoire des patients du secteur</w:t>
      </w:r>
      <w:r w:rsidRPr="003D4167">
        <w:rPr>
          <w:rFonts w:ascii="Century Gothic" w:hAnsi="Century Gothic"/>
          <w:bCs/>
          <w:sz w:val="20"/>
          <w:szCs w:val="20"/>
        </w:rPr>
        <w:t xml:space="preserve"> </w:t>
      </w:r>
      <w:r>
        <w:rPr>
          <w:rFonts w:ascii="Century Gothic" w:hAnsi="Century Gothic"/>
          <w:bCs/>
          <w:sz w:val="20"/>
          <w:szCs w:val="20"/>
        </w:rPr>
        <w:t>(</w:t>
      </w:r>
      <w:r w:rsidRPr="000666D0">
        <w:rPr>
          <w:rFonts w:ascii="Century Gothic" w:hAnsi="Century Gothic"/>
          <w:bCs/>
          <w:sz w:val="20"/>
          <w:szCs w:val="20"/>
        </w:rPr>
        <w:t>habitant à paris (75) ou banlieue proche Paris 14</w:t>
      </w:r>
      <w:r w:rsidRPr="000666D0">
        <w:rPr>
          <w:rFonts w:ascii="Century Gothic" w:hAnsi="Century Gothic"/>
          <w:bCs/>
          <w:sz w:val="20"/>
          <w:szCs w:val="20"/>
          <w:vertAlign w:val="superscript"/>
        </w:rPr>
        <w:t>ème</w:t>
      </w:r>
      <w:r w:rsidRPr="000666D0">
        <w:rPr>
          <w:rFonts w:ascii="Century Gothic" w:hAnsi="Century Gothic"/>
          <w:bCs/>
          <w:sz w:val="20"/>
          <w:szCs w:val="20"/>
        </w:rPr>
        <w:t xml:space="preserve"> (92/94 proches)</w:t>
      </w:r>
      <w:r>
        <w:rPr>
          <w:rFonts w:ascii="Century Gothic" w:hAnsi="Century Gothic"/>
          <w:bCs/>
          <w:sz w:val="20"/>
          <w:szCs w:val="20"/>
        </w:rPr>
        <w:t>.</w:t>
      </w:r>
    </w:p>
    <w:p w14:paraId="59F82955" w14:textId="77777777" w:rsidR="00B257FA" w:rsidRPr="000666D0" w:rsidRDefault="00B257FA" w:rsidP="00B257FA">
      <w:pPr>
        <w:spacing w:after="0" w:line="240" w:lineRule="auto"/>
        <w:rPr>
          <w:rFonts w:ascii="Century Gothic" w:eastAsia="Times New Roman" w:hAnsi="Century Gothic" w:cs="Times New Roman"/>
          <w:bCs/>
          <w:sz w:val="20"/>
          <w:szCs w:val="20"/>
          <w:lang w:eastAsia="fr-FR"/>
        </w:rPr>
      </w:pPr>
    </w:p>
    <w:p w14:paraId="2056986B" w14:textId="77777777" w:rsidR="00B257FA" w:rsidRPr="000666D0" w:rsidRDefault="00B257FA" w:rsidP="00B257FA">
      <w:pPr>
        <w:pStyle w:val="Titre2"/>
        <w:rPr>
          <w:rFonts w:eastAsia="Times New Roman"/>
          <w:lang w:eastAsia="fr-FR"/>
        </w:rPr>
      </w:pPr>
      <w:r w:rsidRPr="000666D0">
        <w:rPr>
          <w:rFonts w:eastAsia="Times New Roman"/>
          <w:lang w:eastAsia="fr-FR"/>
        </w:rPr>
        <w:t xml:space="preserve">Le service de SMR comporte </w:t>
      </w:r>
      <w:r>
        <w:rPr>
          <w:rFonts w:eastAsia="Times New Roman"/>
          <w:lang w:eastAsia="fr-FR"/>
        </w:rPr>
        <w:t>5</w:t>
      </w:r>
      <w:r w:rsidRPr="000666D0">
        <w:rPr>
          <w:rFonts w:eastAsia="Times New Roman"/>
          <w:lang w:eastAsia="fr-FR"/>
        </w:rPr>
        <w:t xml:space="preserve"> unités :</w:t>
      </w:r>
    </w:p>
    <w:p w14:paraId="352201FC" w14:textId="77777777" w:rsidR="00B257FA" w:rsidRDefault="00B257FA" w:rsidP="00B257FA">
      <w:pPr>
        <w:pStyle w:val="Paragraphedeliste"/>
        <w:numPr>
          <w:ilvl w:val="0"/>
          <w:numId w:val="21"/>
        </w:numPr>
        <w:spacing w:after="0" w:line="240" w:lineRule="auto"/>
        <w:rPr>
          <w:rFonts w:ascii="Century Gothic" w:hAnsi="Century Gothic"/>
          <w:sz w:val="20"/>
          <w:szCs w:val="20"/>
        </w:rPr>
      </w:pPr>
      <w:r>
        <w:rPr>
          <w:rFonts w:ascii="Century Gothic" w:hAnsi="Century Gothic"/>
          <w:sz w:val="20"/>
          <w:szCs w:val="20"/>
        </w:rPr>
        <w:t>Hospitalisation de rééducation post réanimation (SRPR)</w:t>
      </w:r>
    </w:p>
    <w:p w14:paraId="74B2F477"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 xml:space="preserve">Hospitalisation complète </w:t>
      </w:r>
    </w:p>
    <w:p w14:paraId="105963DB"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 xml:space="preserve">Hospitalisation de jour (HDJ) </w:t>
      </w:r>
    </w:p>
    <w:p w14:paraId="50588E51" w14:textId="77777777" w:rsidR="00B257FA" w:rsidRPr="000666D0" w:rsidRDefault="00B257FA" w:rsidP="00B257FA">
      <w:pPr>
        <w:pStyle w:val="Paragraphedeliste"/>
        <w:numPr>
          <w:ilvl w:val="1"/>
          <w:numId w:val="21"/>
        </w:numPr>
        <w:jc w:val="both"/>
        <w:rPr>
          <w:rFonts w:ascii="Century Gothic" w:hAnsi="Century Gothic"/>
          <w:sz w:val="20"/>
          <w:szCs w:val="20"/>
        </w:rPr>
      </w:pPr>
      <w:r w:rsidRPr="000666D0">
        <w:rPr>
          <w:rFonts w:ascii="Century Gothic" w:hAnsi="Century Gothic"/>
          <w:sz w:val="20"/>
          <w:szCs w:val="20"/>
        </w:rPr>
        <w:t>Prises en charge rééducative quotidienne</w:t>
      </w:r>
    </w:p>
    <w:p w14:paraId="70589762" w14:textId="77777777" w:rsidR="00B257FA" w:rsidRPr="000666D0" w:rsidRDefault="00B257FA" w:rsidP="00B257FA">
      <w:pPr>
        <w:pStyle w:val="Paragraphedeliste"/>
        <w:numPr>
          <w:ilvl w:val="1"/>
          <w:numId w:val="21"/>
        </w:numPr>
        <w:jc w:val="both"/>
        <w:rPr>
          <w:rFonts w:ascii="Century Gothic" w:hAnsi="Century Gothic"/>
          <w:sz w:val="20"/>
          <w:szCs w:val="20"/>
        </w:rPr>
      </w:pPr>
      <w:r w:rsidRPr="000666D0">
        <w:rPr>
          <w:rFonts w:ascii="Century Gothic" w:hAnsi="Century Gothic"/>
          <w:sz w:val="20"/>
          <w:szCs w:val="20"/>
        </w:rPr>
        <w:t xml:space="preserve">Evaluation (neuro urologie – appareillage – handicap complexe) et de toxine </w:t>
      </w:r>
    </w:p>
    <w:p w14:paraId="11B48244" w14:textId="77777777" w:rsidR="00B257FA"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Hospitalisation à domicile de réadaptation (HAD-R)</w:t>
      </w:r>
    </w:p>
    <w:p w14:paraId="54F62153"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Pr>
          <w:rFonts w:ascii="Century Gothic" w:hAnsi="Century Gothic"/>
          <w:sz w:val="20"/>
          <w:szCs w:val="20"/>
        </w:rPr>
        <w:t xml:space="preserve">Unité de rééducation fonctionnelle groupant les rééducateurs intervenant directement dans les services MCO du pôle. </w:t>
      </w:r>
    </w:p>
    <w:p w14:paraId="016956F5" w14:textId="77777777" w:rsidR="00B257FA" w:rsidRPr="000666D0" w:rsidRDefault="00B257FA" w:rsidP="00B257FA">
      <w:pPr>
        <w:pStyle w:val="Paragraphedeliste"/>
        <w:spacing w:after="0" w:line="240" w:lineRule="auto"/>
        <w:ind w:left="786"/>
        <w:rPr>
          <w:rFonts w:ascii="Century Gothic" w:hAnsi="Century Gothic"/>
          <w:sz w:val="20"/>
          <w:szCs w:val="20"/>
        </w:rPr>
      </w:pPr>
    </w:p>
    <w:p w14:paraId="41399466" w14:textId="77777777" w:rsidR="00B257FA" w:rsidRPr="000666D0" w:rsidRDefault="00B257FA" w:rsidP="00B257FA">
      <w:pPr>
        <w:pStyle w:val="Titre2"/>
        <w:rPr>
          <w:rFonts w:eastAsia="Times New Roman"/>
          <w:lang w:eastAsia="fr-FR"/>
        </w:rPr>
      </w:pPr>
      <w:r w:rsidRPr="000666D0">
        <w:rPr>
          <w:rFonts w:eastAsia="Times New Roman"/>
          <w:lang w:eastAsia="fr-FR"/>
        </w:rPr>
        <w:t>Il dispose d’un plateau technique complet :</w:t>
      </w:r>
    </w:p>
    <w:p w14:paraId="58FEEB04" w14:textId="77777777" w:rsidR="00B257FA" w:rsidRPr="000666D0" w:rsidRDefault="00B257FA" w:rsidP="00B257FA">
      <w:pPr>
        <w:pStyle w:val="Paragraphedeliste"/>
        <w:numPr>
          <w:ilvl w:val="0"/>
          <w:numId w:val="22"/>
        </w:numPr>
        <w:jc w:val="both"/>
        <w:rPr>
          <w:rFonts w:ascii="Century Gothic" w:hAnsi="Century Gothic"/>
          <w:sz w:val="20"/>
          <w:szCs w:val="20"/>
        </w:rPr>
      </w:pPr>
      <w:proofErr w:type="gramStart"/>
      <w:r w:rsidRPr="000666D0">
        <w:rPr>
          <w:rFonts w:ascii="Century Gothic" w:hAnsi="Century Gothic"/>
          <w:sz w:val="20"/>
          <w:szCs w:val="20"/>
        </w:rPr>
        <w:t>salle</w:t>
      </w:r>
      <w:proofErr w:type="gramEnd"/>
      <w:r w:rsidRPr="000666D0">
        <w:rPr>
          <w:rFonts w:ascii="Century Gothic" w:hAnsi="Century Gothic"/>
          <w:sz w:val="20"/>
          <w:szCs w:val="20"/>
        </w:rPr>
        <w:t xml:space="preserve"> de kinésithérapie </w:t>
      </w:r>
    </w:p>
    <w:p w14:paraId="468AD537" w14:textId="77777777" w:rsidR="00B257FA" w:rsidRPr="000666D0" w:rsidRDefault="00B257FA" w:rsidP="00B257FA">
      <w:pPr>
        <w:pStyle w:val="Paragraphedeliste"/>
        <w:numPr>
          <w:ilvl w:val="0"/>
          <w:numId w:val="22"/>
        </w:numPr>
        <w:jc w:val="both"/>
        <w:rPr>
          <w:rFonts w:ascii="Century Gothic" w:hAnsi="Century Gothic"/>
          <w:sz w:val="20"/>
          <w:szCs w:val="20"/>
        </w:rPr>
      </w:pPr>
      <w:proofErr w:type="gramStart"/>
      <w:r w:rsidRPr="000666D0">
        <w:rPr>
          <w:rFonts w:ascii="Century Gothic" w:hAnsi="Century Gothic"/>
          <w:sz w:val="20"/>
          <w:szCs w:val="20"/>
        </w:rPr>
        <w:t>salle</w:t>
      </w:r>
      <w:proofErr w:type="gramEnd"/>
      <w:r w:rsidRPr="000666D0">
        <w:rPr>
          <w:rFonts w:ascii="Century Gothic" w:hAnsi="Century Gothic"/>
          <w:sz w:val="20"/>
          <w:szCs w:val="20"/>
        </w:rPr>
        <w:t xml:space="preserve"> d’ergothérapie </w:t>
      </w:r>
    </w:p>
    <w:p w14:paraId="572273E0" w14:textId="77777777" w:rsidR="00B257FA" w:rsidRPr="000666D0" w:rsidRDefault="00B257FA" w:rsidP="00B257FA">
      <w:pPr>
        <w:pStyle w:val="Paragraphedeliste"/>
        <w:numPr>
          <w:ilvl w:val="0"/>
          <w:numId w:val="22"/>
        </w:numPr>
        <w:jc w:val="both"/>
        <w:rPr>
          <w:rFonts w:ascii="Century Gothic" w:hAnsi="Century Gothic"/>
          <w:sz w:val="20"/>
          <w:szCs w:val="20"/>
        </w:rPr>
      </w:pPr>
      <w:proofErr w:type="gramStart"/>
      <w:r w:rsidRPr="000666D0">
        <w:rPr>
          <w:rFonts w:ascii="Century Gothic" w:hAnsi="Century Gothic"/>
          <w:sz w:val="20"/>
          <w:szCs w:val="20"/>
        </w:rPr>
        <w:lastRenderedPageBreak/>
        <w:t>salle</w:t>
      </w:r>
      <w:proofErr w:type="gramEnd"/>
      <w:r w:rsidRPr="000666D0">
        <w:rPr>
          <w:rFonts w:ascii="Century Gothic" w:hAnsi="Century Gothic"/>
          <w:sz w:val="20"/>
          <w:szCs w:val="20"/>
        </w:rPr>
        <w:t xml:space="preserve"> d’activité physique adapté </w:t>
      </w:r>
    </w:p>
    <w:p w14:paraId="5FC42A7F" w14:textId="77777777" w:rsidR="00B257FA" w:rsidRPr="000666D0" w:rsidRDefault="00B257FA" w:rsidP="00B257FA">
      <w:pPr>
        <w:pStyle w:val="Paragraphedeliste"/>
        <w:numPr>
          <w:ilvl w:val="0"/>
          <w:numId w:val="22"/>
        </w:numPr>
        <w:jc w:val="both"/>
        <w:rPr>
          <w:rFonts w:ascii="Century Gothic" w:hAnsi="Century Gothic"/>
          <w:sz w:val="20"/>
          <w:szCs w:val="20"/>
        </w:rPr>
      </w:pPr>
      <w:proofErr w:type="gramStart"/>
      <w:r w:rsidRPr="000666D0">
        <w:rPr>
          <w:rFonts w:ascii="Century Gothic" w:hAnsi="Century Gothic"/>
          <w:sz w:val="20"/>
          <w:szCs w:val="20"/>
        </w:rPr>
        <w:t>box</w:t>
      </w:r>
      <w:proofErr w:type="gramEnd"/>
      <w:r w:rsidRPr="000666D0">
        <w:rPr>
          <w:rFonts w:ascii="Century Gothic" w:hAnsi="Century Gothic"/>
          <w:sz w:val="20"/>
          <w:szCs w:val="20"/>
        </w:rPr>
        <w:t xml:space="preserve"> de prise en charge individuelle (orthophonie- </w:t>
      </w:r>
      <w:r>
        <w:rPr>
          <w:rFonts w:ascii="Century Gothic" w:hAnsi="Century Gothic"/>
          <w:sz w:val="20"/>
          <w:szCs w:val="20"/>
        </w:rPr>
        <w:t>psychologue-</w:t>
      </w:r>
      <w:r w:rsidRPr="000666D0">
        <w:rPr>
          <w:rFonts w:ascii="Century Gothic" w:hAnsi="Century Gothic"/>
          <w:sz w:val="20"/>
          <w:szCs w:val="20"/>
        </w:rPr>
        <w:t xml:space="preserve">neuropsychologue- </w:t>
      </w:r>
      <w:r>
        <w:rPr>
          <w:rFonts w:ascii="Century Gothic" w:hAnsi="Century Gothic"/>
          <w:sz w:val="20"/>
          <w:szCs w:val="20"/>
        </w:rPr>
        <w:t>psychomotricien</w:t>
      </w:r>
      <w:r w:rsidRPr="000666D0">
        <w:rPr>
          <w:rFonts w:ascii="Century Gothic" w:hAnsi="Century Gothic"/>
          <w:sz w:val="20"/>
          <w:szCs w:val="20"/>
        </w:rPr>
        <w:t>)</w:t>
      </w:r>
    </w:p>
    <w:p w14:paraId="039F26FA" w14:textId="77777777" w:rsidR="00B257FA" w:rsidRPr="000666D0" w:rsidRDefault="00B257FA" w:rsidP="00B257FA">
      <w:pPr>
        <w:pStyle w:val="Paragraphedeliste"/>
        <w:numPr>
          <w:ilvl w:val="0"/>
          <w:numId w:val="22"/>
        </w:numPr>
        <w:jc w:val="both"/>
        <w:rPr>
          <w:rFonts w:ascii="Century Gothic" w:hAnsi="Century Gothic"/>
          <w:sz w:val="20"/>
          <w:szCs w:val="20"/>
        </w:rPr>
      </w:pPr>
      <w:r w:rsidRPr="000666D0">
        <w:rPr>
          <w:rFonts w:ascii="Century Gothic" w:hAnsi="Century Gothic"/>
          <w:sz w:val="20"/>
          <w:szCs w:val="20"/>
        </w:rPr>
        <w:t xml:space="preserve">Une salle de staff permettant la réalisation de prise en charge de groupe </w:t>
      </w:r>
    </w:p>
    <w:p w14:paraId="0BA6FA53" w14:textId="77777777" w:rsidR="00B257FA" w:rsidRDefault="00B257FA" w:rsidP="00B257FA">
      <w:pPr>
        <w:pStyle w:val="Paragraphedeliste"/>
        <w:numPr>
          <w:ilvl w:val="0"/>
          <w:numId w:val="22"/>
        </w:numPr>
        <w:jc w:val="both"/>
        <w:rPr>
          <w:rFonts w:ascii="Century Gothic" w:hAnsi="Century Gothic"/>
          <w:sz w:val="20"/>
          <w:szCs w:val="20"/>
        </w:rPr>
      </w:pPr>
      <w:r w:rsidRPr="000666D0">
        <w:rPr>
          <w:rFonts w:ascii="Century Gothic" w:hAnsi="Century Gothic"/>
          <w:sz w:val="20"/>
          <w:szCs w:val="20"/>
        </w:rPr>
        <w:t>Une salle « atelier thérapeutique » permettant les prises en charge individuelle et permettant le respect de l’intimité du patient lors des entretiens.</w:t>
      </w:r>
    </w:p>
    <w:p w14:paraId="1FDDE9CB" w14:textId="77777777" w:rsidR="00B257FA" w:rsidRPr="000666D0" w:rsidRDefault="00B257FA" w:rsidP="00B257FA">
      <w:pPr>
        <w:pStyle w:val="Paragraphedeliste"/>
        <w:numPr>
          <w:ilvl w:val="0"/>
          <w:numId w:val="22"/>
        </w:numPr>
        <w:jc w:val="both"/>
        <w:rPr>
          <w:rFonts w:ascii="Century Gothic" w:hAnsi="Century Gothic"/>
          <w:sz w:val="20"/>
          <w:szCs w:val="20"/>
        </w:rPr>
      </w:pPr>
      <w:r>
        <w:rPr>
          <w:rFonts w:ascii="Century Gothic" w:hAnsi="Century Gothic"/>
          <w:sz w:val="20"/>
          <w:szCs w:val="20"/>
        </w:rPr>
        <w:t>Des salles d’HDJ pour la réalisation de toxine botulinique/bloc neuromoteurs, sous échographie ou sous électrostimulation.</w:t>
      </w:r>
    </w:p>
    <w:p w14:paraId="1F5EC799" w14:textId="77777777" w:rsidR="00B257FA" w:rsidRPr="000666D0" w:rsidRDefault="00B257FA" w:rsidP="00B257FA">
      <w:pPr>
        <w:spacing w:after="0" w:line="240" w:lineRule="auto"/>
        <w:jc w:val="both"/>
        <w:rPr>
          <w:rFonts w:ascii="Century Gothic" w:hAnsi="Century Gothic"/>
          <w:sz w:val="20"/>
          <w:szCs w:val="20"/>
        </w:rPr>
      </w:pPr>
      <w:r w:rsidRPr="000666D0">
        <w:rPr>
          <w:rFonts w:ascii="Century Gothic" w:hAnsi="Century Gothic"/>
          <w:sz w:val="20"/>
          <w:szCs w:val="20"/>
        </w:rPr>
        <w:t>Il dispose également d’équipements spécifiques :</w:t>
      </w:r>
    </w:p>
    <w:p w14:paraId="121BEA90"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r w:rsidRPr="000666D0">
        <w:rPr>
          <w:rFonts w:ascii="Century Gothic" w:hAnsi="Century Gothic"/>
          <w:sz w:val="20"/>
          <w:szCs w:val="20"/>
        </w:rPr>
        <w:t>Débitmètre urinaire</w:t>
      </w:r>
    </w:p>
    <w:p w14:paraId="54024FB5"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r w:rsidRPr="000666D0">
        <w:rPr>
          <w:rFonts w:ascii="Century Gothic" w:hAnsi="Century Gothic"/>
          <w:sz w:val="20"/>
          <w:szCs w:val="20"/>
        </w:rPr>
        <w:t>Echographe</w:t>
      </w:r>
    </w:p>
    <w:p w14:paraId="77B8B1D6"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r w:rsidRPr="000666D0">
        <w:rPr>
          <w:rFonts w:ascii="Century Gothic" w:hAnsi="Century Gothic"/>
          <w:sz w:val="20"/>
          <w:szCs w:val="20"/>
        </w:rPr>
        <w:t>Equipement de réalité virtuelle</w:t>
      </w:r>
    </w:p>
    <w:p w14:paraId="038B4BD7"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proofErr w:type="spellStart"/>
      <w:r w:rsidRPr="000666D0">
        <w:rPr>
          <w:rFonts w:ascii="Century Gothic" w:hAnsi="Century Gothic"/>
          <w:sz w:val="20"/>
          <w:szCs w:val="20"/>
        </w:rPr>
        <w:t>Vibramoov</w:t>
      </w:r>
      <w:proofErr w:type="spellEnd"/>
    </w:p>
    <w:p w14:paraId="11E93C91"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proofErr w:type="spellStart"/>
      <w:r w:rsidRPr="000666D0">
        <w:rPr>
          <w:rFonts w:ascii="Century Gothic" w:hAnsi="Century Gothic"/>
          <w:sz w:val="20"/>
          <w:szCs w:val="20"/>
        </w:rPr>
        <w:t>Réaplan</w:t>
      </w:r>
      <w:proofErr w:type="spellEnd"/>
      <w:r w:rsidRPr="000666D0">
        <w:rPr>
          <w:rFonts w:ascii="Century Gothic" w:hAnsi="Century Gothic"/>
          <w:sz w:val="20"/>
          <w:szCs w:val="20"/>
        </w:rPr>
        <w:t xml:space="preserve"> </w:t>
      </w:r>
    </w:p>
    <w:p w14:paraId="3BC548C3" w14:textId="77777777" w:rsidR="00B257FA" w:rsidRPr="000666D0" w:rsidRDefault="00B257FA" w:rsidP="00B257FA">
      <w:pPr>
        <w:spacing w:after="0" w:line="240" w:lineRule="auto"/>
        <w:jc w:val="both"/>
        <w:rPr>
          <w:rFonts w:ascii="Century Gothic" w:hAnsi="Century Gothic"/>
          <w:sz w:val="20"/>
          <w:szCs w:val="20"/>
        </w:rPr>
      </w:pPr>
    </w:p>
    <w:p w14:paraId="1A8542A0" w14:textId="77777777" w:rsidR="00B257FA" w:rsidRPr="000666D0" w:rsidRDefault="00B257FA" w:rsidP="00B257FA">
      <w:pPr>
        <w:spacing w:after="0" w:line="240" w:lineRule="auto"/>
        <w:jc w:val="both"/>
        <w:rPr>
          <w:rFonts w:ascii="Century Gothic" w:hAnsi="Century Gothic"/>
          <w:sz w:val="20"/>
          <w:szCs w:val="20"/>
        </w:rPr>
      </w:pPr>
      <w:r w:rsidRPr="000666D0">
        <w:rPr>
          <w:rFonts w:ascii="Century Gothic" w:hAnsi="Century Gothic"/>
          <w:sz w:val="20"/>
          <w:szCs w:val="20"/>
        </w:rPr>
        <w:t>Enfin, le service dispose d’une autorisation de balnéothérapie dont la réinstallation est prévue dans un nouveau bâtiment à construire (cf. infra)</w:t>
      </w:r>
    </w:p>
    <w:p w14:paraId="0559A92E" w14:textId="77777777" w:rsidR="00B257FA" w:rsidRPr="000666D0" w:rsidRDefault="00B257FA" w:rsidP="00B257FA">
      <w:pPr>
        <w:spacing w:after="0" w:line="240" w:lineRule="auto"/>
        <w:rPr>
          <w:rFonts w:ascii="Century Gothic" w:hAnsi="Century Gothic"/>
          <w:sz w:val="20"/>
          <w:szCs w:val="20"/>
        </w:rPr>
      </w:pPr>
    </w:p>
    <w:p w14:paraId="5BBBEDE6" w14:textId="77777777" w:rsidR="00B257FA" w:rsidRPr="000666D0" w:rsidRDefault="00B257FA" w:rsidP="00B257FA">
      <w:pPr>
        <w:pStyle w:val="Titre2"/>
        <w:rPr>
          <w:rFonts w:eastAsia="Times New Roman"/>
          <w:lang w:eastAsia="fr-FR"/>
        </w:rPr>
      </w:pPr>
      <w:r w:rsidRPr="000666D0">
        <w:rPr>
          <w:rFonts w:eastAsia="Times New Roman"/>
          <w:lang w:eastAsia="fr-FR"/>
        </w:rPr>
        <w:t>Composition de l’équipe médicale au 1</w:t>
      </w:r>
      <w:r w:rsidRPr="000666D0">
        <w:rPr>
          <w:rFonts w:eastAsia="Times New Roman"/>
          <w:vertAlign w:val="superscript"/>
          <w:lang w:eastAsia="fr-FR"/>
        </w:rPr>
        <w:t>er</w:t>
      </w:r>
      <w:r w:rsidRPr="000666D0">
        <w:rPr>
          <w:rFonts w:eastAsia="Times New Roman"/>
          <w:lang w:eastAsia="fr-FR"/>
        </w:rPr>
        <w:t xml:space="preserve"> novembre 2024</w:t>
      </w:r>
    </w:p>
    <w:p w14:paraId="53A2867E"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r>
        <w:rPr>
          <w:rFonts w:ascii="Century Gothic" w:hAnsi="Century Gothic"/>
          <w:sz w:val="20"/>
          <w:szCs w:val="20"/>
        </w:rPr>
        <w:t>4</w:t>
      </w:r>
      <w:r w:rsidRPr="000666D0">
        <w:rPr>
          <w:rFonts w:ascii="Century Gothic" w:hAnsi="Century Gothic"/>
          <w:sz w:val="20"/>
          <w:szCs w:val="20"/>
        </w:rPr>
        <w:t xml:space="preserve"> ETP séniors dont le chef de service</w:t>
      </w:r>
    </w:p>
    <w:p w14:paraId="1D0E65DE"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r w:rsidRPr="000666D0">
        <w:rPr>
          <w:rFonts w:ascii="Century Gothic" w:hAnsi="Century Gothic"/>
          <w:sz w:val="20"/>
          <w:szCs w:val="20"/>
        </w:rPr>
        <w:t>1 ET</w:t>
      </w:r>
      <w:r>
        <w:rPr>
          <w:rFonts w:ascii="Century Gothic" w:hAnsi="Century Gothic"/>
          <w:sz w:val="20"/>
          <w:szCs w:val="20"/>
        </w:rPr>
        <w:t>P</w:t>
      </w:r>
      <w:r w:rsidRPr="000666D0">
        <w:rPr>
          <w:rFonts w:ascii="Century Gothic" w:hAnsi="Century Gothic"/>
          <w:sz w:val="20"/>
          <w:szCs w:val="20"/>
        </w:rPr>
        <w:t xml:space="preserve"> Docteur Junior</w:t>
      </w:r>
    </w:p>
    <w:p w14:paraId="4C66C42C" w14:textId="77777777" w:rsidR="00B257FA" w:rsidRPr="000666D0" w:rsidRDefault="00B257FA" w:rsidP="00B257FA">
      <w:pPr>
        <w:spacing w:after="0" w:line="240" w:lineRule="auto"/>
        <w:rPr>
          <w:rFonts w:ascii="Century Gothic" w:eastAsia="Times New Roman" w:hAnsi="Century Gothic" w:cs="Times New Roman"/>
          <w:b/>
          <w:bCs/>
          <w:color w:val="1F3864" w:themeColor="accent5" w:themeShade="80"/>
          <w:sz w:val="20"/>
          <w:szCs w:val="20"/>
          <w:lang w:eastAsia="fr-FR"/>
        </w:rPr>
      </w:pPr>
    </w:p>
    <w:p w14:paraId="1D80B39D" w14:textId="77777777" w:rsidR="00B257FA" w:rsidRPr="000666D0" w:rsidRDefault="00B257FA" w:rsidP="00B257FA">
      <w:pPr>
        <w:pStyle w:val="Titre2"/>
        <w:rPr>
          <w:rFonts w:eastAsia="Times New Roman"/>
          <w:lang w:eastAsia="fr-FR"/>
        </w:rPr>
      </w:pPr>
      <w:r w:rsidRPr="000666D0">
        <w:rPr>
          <w:rFonts w:eastAsia="Times New Roman"/>
          <w:lang w:eastAsia="fr-FR"/>
        </w:rPr>
        <w:t>Composition de l’équipe non médicale</w:t>
      </w:r>
    </w:p>
    <w:p w14:paraId="6D774987"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r>
        <w:rPr>
          <w:rFonts w:ascii="Century Gothic" w:hAnsi="Century Gothic"/>
          <w:sz w:val="20"/>
          <w:szCs w:val="20"/>
        </w:rPr>
        <w:t>1</w:t>
      </w:r>
      <w:r w:rsidRPr="000666D0">
        <w:rPr>
          <w:rFonts w:ascii="Century Gothic" w:hAnsi="Century Gothic"/>
          <w:sz w:val="20"/>
          <w:szCs w:val="20"/>
        </w:rPr>
        <w:t xml:space="preserve"> ETP cadre de santé</w:t>
      </w:r>
    </w:p>
    <w:p w14:paraId="144CA26D"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r w:rsidRPr="000666D0">
        <w:rPr>
          <w:rFonts w:ascii="Century Gothic" w:hAnsi="Century Gothic"/>
          <w:sz w:val="20"/>
          <w:szCs w:val="20"/>
        </w:rPr>
        <w:t>Un assistant socio-éducatif (assistant social)</w:t>
      </w:r>
    </w:p>
    <w:p w14:paraId="5AFFF61B" w14:textId="77777777" w:rsidR="00B257FA" w:rsidRPr="000666D0" w:rsidRDefault="00B257FA" w:rsidP="00B257FA">
      <w:pPr>
        <w:pStyle w:val="Paragraphedeliste"/>
        <w:numPr>
          <w:ilvl w:val="0"/>
          <w:numId w:val="22"/>
        </w:numPr>
        <w:spacing w:after="0" w:line="240" w:lineRule="auto"/>
        <w:jc w:val="both"/>
        <w:rPr>
          <w:rFonts w:ascii="Century Gothic" w:hAnsi="Century Gothic"/>
          <w:sz w:val="20"/>
          <w:szCs w:val="20"/>
        </w:rPr>
      </w:pPr>
      <w:r>
        <w:rPr>
          <w:rFonts w:ascii="Century Gothic" w:hAnsi="Century Gothic"/>
          <w:sz w:val="20"/>
          <w:szCs w:val="20"/>
        </w:rPr>
        <w:t>2</w:t>
      </w:r>
      <w:r w:rsidRPr="000666D0">
        <w:rPr>
          <w:rFonts w:ascii="Century Gothic" w:hAnsi="Century Gothic"/>
          <w:sz w:val="20"/>
          <w:szCs w:val="20"/>
        </w:rPr>
        <w:t xml:space="preserve"> ETP secrétaires</w:t>
      </w:r>
    </w:p>
    <w:p w14:paraId="289140BA" w14:textId="77777777" w:rsidR="00B257FA" w:rsidRPr="000666D0" w:rsidRDefault="00B257FA" w:rsidP="00B257FA">
      <w:pPr>
        <w:pStyle w:val="Paragraphedeliste"/>
        <w:spacing w:after="0" w:line="240" w:lineRule="auto"/>
        <w:jc w:val="center"/>
        <w:rPr>
          <w:rFonts w:ascii="Century Gothic" w:hAnsi="Century Gothic"/>
          <w:sz w:val="20"/>
          <w:szCs w:val="20"/>
        </w:rPr>
      </w:pPr>
    </w:p>
    <w:tbl>
      <w:tblPr>
        <w:tblStyle w:val="Grilledutableau"/>
        <w:tblW w:w="8217" w:type="dxa"/>
        <w:jc w:val="center"/>
        <w:tblLook w:val="04A0" w:firstRow="1" w:lastRow="0" w:firstColumn="1" w:lastColumn="0" w:noHBand="0" w:noVBand="1"/>
      </w:tblPr>
      <w:tblGrid>
        <w:gridCol w:w="1772"/>
        <w:gridCol w:w="827"/>
        <w:gridCol w:w="703"/>
        <w:gridCol w:w="648"/>
        <w:gridCol w:w="772"/>
        <w:gridCol w:w="624"/>
        <w:gridCol w:w="1128"/>
        <w:gridCol w:w="1041"/>
        <w:gridCol w:w="1309"/>
      </w:tblGrid>
      <w:tr w:rsidR="00B257FA" w:rsidRPr="000666D0" w14:paraId="0FCF06B6" w14:textId="77777777" w:rsidTr="00490DE6">
        <w:trPr>
          <w:trHeight w:val="290"/>
          <w:jc w:val="center"/>
        </w:trPr>
        <w:tc>
          <w:tcPr>
            <w:tcW w:w="1651" w:type="dxa"/>
            <w:noWrap/>
            <w:vAlign w:val="center"/>
            <w:hideMark/>
          </w:tcPr>
          <w:p w14:paraId="676CEE05" w14:textId="77777777" w:rsidR="00B257FA" w:rsidRPr="000666D0" w:rsidRDefault="00B257FA" w:rsidP="00490DE6">
            <w:pPr>
              <w:jc w:val="center"/>
              <w:rPr>
                <w:rFonts w:ascii="Century Gothic" w:eastAsia="Times New Roman" w:hAnsi="Century Gothic" w:cs="Calibri"/>
                <w:color w:val="000000"/>
                <w:sz w:val="20"/>
                <w:szCs w:val="20"/>
                <w:lang w:eastAsia="fr-FR"/>
              </w:rPr>
            </w:pPr>
            <w:bookmarkStart w:id="0" w:name="_Hlk181643169"/>
          </w:p>
        </w:tc>
        <w:tc>
          <w:tcPr>
            <w:tcW w:w="827" w:type="dxa"/>
            <w:noWrap/>
            <w:vAlign w:val="center"/>
            <w:hideMark/>
          </w:tcPr>
          <w:p w14:paraId="58F41679"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IDE</w:t>
            </w:r>
          </w:p>
        </w:tc>
        <w:tc>
          <w:tcPr>
            <w:tcW w:w="703" w:type="dxa"/>
            <w:noWrap/>
            <w:vAlign w:val="center"/>
            <w:hideMark/>
          </w:tcPr>
          <w:p w14:paraId="270F05F0"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AS</w:t>
            </w:r>
          </w:p>
        </w:tc>
        <w:tc>
          <w:tcPr>
            <w:tcW w:w="648" w:type="dxa"/>
            <w:noWrap/>
            <w:vAlign w:val="center"/>
            <w:hideMark/>
          </w:tcPr>
          <w:p w14:paraId="066383D6"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KINE</w:t>
            </w:r>
          </w:p>
        </w:tc>
        <w:tc>
          <w:tcPr>
            <w:tcW w:w="737" w:type="dxa"/>
            <w:noWrap/>
            <w:vAlign w:val="center"/>
            <w:hideMark/>
          </w:tcPr>
          <w:p w14:paraId="32C54C56"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ERGO</w:t>
            </w:r>
          </w:p>
        </w:tc>
        <w:tc>
          <w:tcPr>
            <w:tcW w:w="600" w:type="dxa"/>
            <w:noWrap/>
            <w:vAlign w:val="center"/>
            <w:hideMark/>
          </w:tcPr>
          <w:p w14:paraId="560E3D6F"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APA</w:t>
            </w:r>
          </w:p>
        </w:tc>
        <w:tc>
          <w:tcPr>
            <w:tcW w:w="1097" w:type="dxa"/>
            <w:noWrap/>
            <w:vAlign w:val="center"/>
            <w:hideMark/>
          </w:tcPr>
          <w:p w14:paraId="7B579C05"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Psycho</w:t>
            </w:r>
          </w:p>
          <w:p w14:paraId="6B095DB5"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proofErr w:type="spellStart"/>
            <w:proofErr w:type="gramStart"/>
            <w:r w:rsidRPr="000666D0">
              <w:rPr>
                <w:rFonts w:ascii="Century Gothic" w:eastAsia="Times New Roman" w:hAnsi="Century Gothic" w:cs="Calibri"/>
                <w:b/>
                <w:bCs/>
                <w:color w:val="000000"/>
                <w:sz w:val="20"/>
                <w:szCs w:val="20"/>
                <w:lang w:eastAsia="fr-FR"/>
              </w:rPr>
              <w:t>motricien</w:t>
            </w:r>
            <w:proofErr w:type="spellEnd"/>
            <w:proofErr w:type="gramEnd"/>
          </w:p>
        </w:tc>
        <w:tc>
          <w:tcPr>
            <w:tcW w:w="1018" w:type="dxa"/>
            <w:noWrap/>
            <w:vAlign w:val="center"/>
            <w:hideMark/>
          </w:tcPr>
          <w:p w14:paraId="615CC630"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Ortho</w:t>
            </w:r>
          </w:p>
          <w:p w14:paraId="3F2C0CC2"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proofErr w:type="spellStart"/>
            <w:proofErr w:type="gramStart"/>
            <w:r w:rsidRPr="000666D0">
              <w:rPr>
                <w:rFonts w:ascii="Century Gothic" w:eastAsia="Times New Roman" w:hAnsi="Century Gothic" w:cs="Calibri"/>
                <w:b/>
                <w:bCs/>
                <w:color w:val="000000"/>
                <w:sz w:val="20"/>
                <w:szCs w:val="20"/>
                <w:lang w:eastAsia="fr-FR"/>
              </w:rPr>
              <w:t>phoniste</w:t>
            </w:r>
            <w:proofErr w:type="spellEnd"/>
            <w:proofErr w:type="gramEnd"/>
          </w:p>
        </w:tc>
        <w:tc>
          <w:tcPr>
            <w:tcW w:w="936" w:type="dxa"/>
            <w:noWrap/>
            <w:vAlign w:val="center"/>
            <w:hideMark/>
          </w:tcPr>
          <w:p w14:paraId="17F248D8"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Neuro</w:t>
            </w:r>
          </w:p>
          <w:p w14:paraId="44E13C31"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proofErr w:type="spellStart"/>
            <w:proofErr w:type="gramStart"/>
            <w:r w:rsidRPr="000666D0">
              <w:rPr>
                <w:rFonts w:ascii="Century Gothic" w:eastAsia="Times New Roman" w:hAnsi="Century Gothic" w:cs="Calibri"/>
                <w:b/>
                <w:bCs/>
                <w:color w:val="000000"/>
                <w:sz w:val="20"/>
                <w:szCs w:val="20"/>
                <w:lang w:eastAsia="fr-FR"/>
              </w:rPr>
              <w:t>psychogue</w:t>
            </w:r>
            <w:proofErr w:type="spellEnd"/>
            <w:proofErr w:type="gramEnd"/>
          </w:p>
        </w:tc>
      </w:tr>
      <w:tr w:rsidR="00B257FA" w:rsidRPr="000666D0" w14:paraId="2FF110D9" w14:textId="77777777" w:rsidTr="00490DE6">
        <w:trPr>
          <w:trHeight w:val="290"/>
          <w:jc w:val="center"/>
        </w:trPr>
        <w:tc>
          <w:tcPr>
            <w:tcW w:w="1651" w:type="dxa"/>
            <w:noWrap/>
            <w:vAlign w:val="center"/>
            <w:hideMark/>
          </w:tcPr>
          <w:p w14:paraId="14411E9B"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SMR HC</w:t>
            </w:r>
          </w:p>
        </w:tc>
        <w:tc>
          <w:tcPr>
            <w:tcW w:w="827" w:type="dxa"/>
            <w:noWrap/>
            <w:vAlign w:val="center"/>
            <w:hideMark/>
          </w:tcPr>
          <w:p w14:paraId="213FD369"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6</w:t>
            </w:r>
          </w:p>
        </w:tc>
        <w:tc>
          <w:tcPr>
            <w:tcW w:w="703" w:type="dxa"/>
            <w:noWrap/>
            <w:vAlign w:val="center"/>
            <w:hideMark/>
          </w:tcPr>
          <w:p w14:paraId="289E3857"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8</w:t>
            </w:r>
          </w:p>
        </w:tc>
        <w:tc>
          <w:tcPr>
            <w:tcW w:w="648" w:type="dxa"/>
            <w:vMerge w:val="restart"/>
            <w:noWrap/>
            <w:vAlign w:val="center"/>
            <w:hideMark/>
          </w:tcPr>
          <w:p w14:paraId="58E4293C"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3</w:t>
            </w:r>
            <w:r w:rsidRPr="000666D0">
              <w:rPr>
                <w:rFonts w:ascii="Century Gothic" w:eastAsia="Times New Roman" w:hAnsi="Century Gothic" w:cs="Calibri"/>
                <w:color w:val="000000"/>
                <w:sz w:val="20"/>
                <w:szCs w:val="20"/>
                <w:lang w:eastAsia="fr-FR"/>
              </w:rPr>
              <w:t>,5</w:t>
            </w:r>
          </w:p>
        </w:tc>
        <w:tc>
          <w:tcPr>
            <w:tcW w:w="737" w:type="dxa"/>
            <w:vMerge w:val="restart"/>
            <w:noWrap/>
            <w:vAlign w:val="center"/>
            <w:hideMark/>
          </w:tcPr>
          <w:p w14:paraId="440ED583"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2</w:t>
            </w:r>
          </w:p>
        </w:tc>
        <w:tc>
          <w:tcPr>
            <w:tcW w:w="600" w:type="dxa"/>
            <w:vMerge w:val="restart"/>
            <w:noWrap/>
            <w:vAlign w:val="center"/>
            <w:hideMark/>
          </w:tcPr>
          <w:p w14:paraId="0821DFF4"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1.5</w:t>
            </w:r>
          </w:p>
        </w:tc>
        <w:tc>
          <w:tcPr>
            <w:tcW w:w="1097" w:type="dxa"/>
            <w:vMerge w:val="restart"/>
            <w:noWrap/>
            <w:vAlign w:val="center"/>
            <w:hideMark/>
          </w:tcPr>
          <w:p w14:paraId="1699538F" w14:textId="77777777" w:rsidR="00B257FA" w:rsidRPr="000666D0" w:rsidRDefault="00B257FA" w:rsidP="00490DE6">
            <w:pPr>
              <w:jc w:val="center"/>
              <w:rPr>
                <w:rFonts w:ascii="Century Gothic" w:eastAsia="Times New Roman" w:hAnsi="Century Gothic" w:cs="Calibri"/>
                <w:color w:val="000000"/>
                <w:sz w:val="20"/>
                <w:szCs w:val="20"/>
                <w:lang w:eastAsia="fr-FR"/>
              </w:rPr>
            </w:pPr>
            <w:r w:rsidRPr="000666D0">
              <w:rPr>
                <w:rFonts w:ascii="Century Gothic" w:eastAsia="Times New Roman" w:hAnsi="Century Gothic" w:cs="Calibri"/>
                <w:color w:val="000000"/>
                <w:sz w:val="20"/>
                <w:szCs w:val="20"/>
                <w:lang w:eastAsia="fr-FR"/>
              </w:rPr>
              <w:t>0,</w:t>
            </w:r>
            <w:r>
              <w:rPr>
                <w:rFonts w:ascii="Century Gothic" w:eastAsia="Times New Roman" w:hAnsi="Century Gothic" w:cs="Calibri"/>
                <w:color w:val="000000"/>
                <w:sz w:val="20"/>
                <w:szCs w:val="20"/>
                <w:lang w:eastAsia="fr-FR"/>
              </w:rPr>
              <w:t>8</w:t>
            </w:r>
          </w:p>
        </w:tc>
        <w:tc>
          <w:tcPr>
            <w:tcW w:w="1018" w:type="dxa"/>
            <w:vMerge w:val="restart"/>
            <w:noWrap/>
            <w:vAlign w:val="center"/>
            <w:hideMark/>
          </w:tcPr>
          <w:p w14:paraId="1327461B"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2</w:t>
            </w:r>
          </w:p>
        </w:tc>
        <w:tc>
          <w:tcPr>
            <w:tcW w:w="936" w:type="dxa"/>
            <w:vMerge w:val="restart"/>
            <w:noWrap/>
            <w:vAlign w:val="center"/>
            <w:hideMark/>
          </w:tcPr>
          <w:p w14:paraId="64B93347" w14:textId="77777777" w:rsidR="00B257FA" w:rsidRPr="000666D0" w:rsidRDefault="00B257FA" w:rsidP="00490DE6">
            <w:pPr>
              <w:jc w:val="center"/>
              <w:rPr>
                <w:rFonts w:ascii="Century Gothic" w:eastAsia="Times New Roman" w:hAnsi="Century Gothic" w:cs="Calibri"/>
                <w:color w:val="000000"/>
                <w:sz w:val="20"/>
                <w:szCs w:val="20"/>
                <w:lang w:eastAsia="fr-FR"/>
              </w:rPr>
            </w:pPr>
            <w:r w:rsidRPr="000666D0">
              <w:rPr>
                <w:rFonts w:ascii="Century Gothic" w:eastAsia="Times New Roman" w:hAnsi="Century Gothic" w:cs="Calibri"/>
                <w:color w:val="000000"/>
                <w:sz w:val="20"/>
                <w:szCs w:val="20"/>
                <w:lang w:eastAsia="fr-FR"/>
              </w:rPr>
              <w:t>0,5</w:t>
            </w:r>
          </w:p>
        </w:tc>
      </w:tr>
      <w:tr w:rsidR="00B257FA" w:rsidRPr="000666D0" w14:paraId="51C5A348" w14:textId="77777777" w:rsidTr="00490DE6">
        <w:trPr>
          <w:trHeight w:val="290"/>
          <w:jc w:val="center"/>
        </w:trPr>
        <w:tc>
          <w:tcPr>
            <w:tcW w:w="1651" w:type="dxa"/>
            <w:noWrap/>
            <w:vAlign w:val="center"/>
            <w:hideMark/>
          </w:tcPr>
          <w:p w14:paraId="4E201771"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HDJ</w:t>
            </w:r>
          </w:p>
        </w:tc>
        <w:tc>
          <w:tcPr>
            <w:tcW w:w="827" w:type="dxa"/>
            <w:noWrap/>
            <w:vAlign w:val="center"/>
            <w:hideMark/>
          </w:tcPr>
          <w:p w14:paraId="4030363F"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1</w:t>
            </w:r>
          </w:p>
        </w:tc>
        <w:tc>
          <w:tcPr>
            <w:tcW w:w="703" w:type="dxa"/>
            <w:noWrap/>
            <w:vAlign w:val="center"/>
            <w:hideMark/>
          </w:tcPr>
          <w:p w14:paraId="149DF3D1"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1</w:t>
            </w:r>
          </w:p>
        </w:tc>
        <w:tc>
          <w:tcPr>
            <w:tcW w:w="648" w:type="dxa"/>
            <w:vMerge/>
            <w:vAlign w:val="center"/>
            <w:hideMark/>
          </w:tcPr>
          <w:p w14:paraId="0A9F661B"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737" w:type="dxa"/>
            <w:vMerge/>
            <w:vAlign w:val="center"/>
            <w:hideMark/>
          </w:tcPr>
          <w:p w14:paraId="201CD0BC"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600" w:type="dxa"/>
            <w:vMerge/>
            <w:vAlign w:val="center"/>
            <w:hideMark/>
          </w:tcPr>
          <w:p w14:paraId="0C80753F"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1097" w:type="dxa"/>
            <w:vMerge/>
            <w:vAlign w:val="center"/>
            <w:hideMark/>
          </w:tcPr>
          <w:p w14:paraId="371EA729"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1018" w:type="dxa"/>
            <w:vMerge/>
            <w:vAlign w:val="center"/>
            <w:hideMark/>
          </w:tcPr>
          <w:p w14:paraId="2DFFAF5B"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936" w:type="dxa"/>
            <w:vMerge/>
            <w:vAlign w:val="center"/>
            <w:hideMark/>
          </w:tcPr>
          <w:p w14:paraId="44F6F945"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r>
      <w:tr w:rsidR="00B257FA" w:rsidRPr="000666D0" w14:paraId="791DF563" w14:textId="77777777" w:rsidTr="00490DE6">
        <w:trPr>
          <w:trHeight w:val="290"/>
          <w:jc w:val="center"/>
        </w:trPr>
        <w:tc>
          <w:tcPr>
            <w:tcW w:w="1651" w:type="dxa"/>
            <w:noWrap/>
            <w:vAlign w:val="center"/>
            <w:hideMark/>
          </w:tcPr>
          <w:p w14:paraId="2615EB7B"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sidRPr="000666D0">
              <w:rPr>
                <w:rFonts w:ascii="Century Gothic" w:eastAsia="Times New Roman" w:hAnsi="Century Gothic" w:cs="Calibri"/>
                <w:b/>
                <w:bCs/>
                <w:color w:val="000000"/>
                <w:sz w:val="20"/>
                <w:szCs w:val="20"/>
                <w:lang w:eastAsia="fr-FR"/>
              </w:rPr>
              <w:t>HAD-R</w:t>
            </w:r>
          </w:p>
        </w:tc>
        <w:tc>
          <w:tcPr>
            <w:tcW w:w="827" w:type="dxa"/>
            <w:noWrap/>
            <w:vAlign w:val="center"/>
            <w:hideMark/>
          </w:tcPr>
          <w:p w14:paraId="31F79DDC"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703" w:type="dxa"/>
            <w:noWrap/>
            <w:vAlign w:val="center"/>
            <w:hideMark/>
          </w:tcPr>
          <w:p w14:paraId="036FC20A"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648" w:type="dxa"/>
            <w:noWrap/>
            <w:vAlign w:val="center"/>
            <w:hideMark/>
          </w:tcPr>
          <w:p w14:paraId="7173A730" w14:textId="77777777" w:rsidR="00B257FA" w:rsidRPr="000666D0" w:rsidRDefault="00B257FA" w:rsidP="00490DE6">
            <w:pPr>
              <w:jc w:val="center"/>
              <w:rPr>
                <w:rFonts w:ascii="Century Gothic" w:eastAsia="Times New Roman" w:hAnsi="Century Gothic" w:cs="Calibri"/>
                <w:color w:val="000000"/>
                <w:sz w:val="20"/>
                <w:szCs w:val="20"/>
                <w:lang w:eastAsia="fr-FR"/>
              </w:rPr>
            </w:pPr>
            <w:r w:rsidRPr="000666D0">
              <w:rPr>
                <w:rFonts w:ascii="Century Gothic" w:eastAsia="Times New Roman" w:hAnsi="Century Gothic" w:cs="Calibri"/>
                <w:color w:val="000000"/>
                <w:sz w:val="20"/>
                <w:szCs w:val="20"/>
                <w:lang w:eastAsia="fr-FR"/>
              </w:rPr>
              <w:t>1</w:t>
            </w:r>
          </w:p>
        </w:tc>
        <w:tc>
          <w:tcPr>
            <w:tcW w:w="737" w:type="dxa"/>
            <w:noWrap/>
            <w:vAlign w:val="center"/>
            <w:hideMark/>
          </w:tcPr>
          <w:p w14:paraId="7CE1C70F" w14:textId="77777777" w:rsidR="00B257FA" w:rsidRPr="000666D0" w:rsidRDefault="00B257FA" w:rsidP="00490DE6">
            <w:pPr>
              <w:jc w:val="center"/>
              <w:rPr>
                <w:rFonts w:ascii="Century Gothic" w:eastAsia="Times New Roman" w:hAnsi="Century Gothic" w:cs="Calibri"/>
                <w:color w:val="000000"/>
                <w:sz w:val="20"/>
                <w:szCs w:val="20"/>
                <w:lang w:eastAsia="fr-FR"/>
              </w:rPr>
            </w:pPr>
            <w:r w:rsidRPr="000666D0">
              <w:rPr>
                <w:rFonts w:ascii="Century Gothic" w:eastAsia="Times New Roman" w:hAnsi="Century Gothic" w:cs="Calibri"/>
                <w:color w:val="000000"/>
                <w:sz w:val="20"/>
                <w:szCs w:val="20"/>
                <w:lang w:eastAsia="fr-FR"/>
              </w:rPr>
              <w:t>2</w:t>
            </w:r>
          </w:p>
        </w:tc>
        <w:tc>
          <w:tcPr>
            <w:tcW w:w="600" w:type="dxa"/>
            <w:noWrap/>
            <w:vAlign w:val="center"/>
            <w:hideMark/>
          </w:tcPr>
          <w:p w14:paraId="7C9E7691"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0.5</w:t>
            </w:r>
          </w:p>
        </w:tc>
        <w:tc>
          <w:tcPr>
            <w:tcW w:w="1097" w:type="dxa"/>
            <w:noWrap/>
            <w:vAlign w:val="center"/>
            <w:hideMark/>
          </w:tcPr>
          <w:p w14:paraId="66379D12"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1018" w:type="dxa"/>
            <w:noWrap/>
            <w:vAlign w:val="center"/>
            <w:hideMark/>
          </w:tcPr>
          <w:p w14:paraId="7E91BA3D"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0.5</w:t>
            </w:r>
          </w:p>
        </w:tc>
        <w:tc>
          <w:tcPr>
            <w:tcW w:w="936" w:type="dxa"/>
            <w:noWrap/>
            <w:vAlign w:val="center"/>
            <w:hideMark/>
          </w:tcPr>
          <w:p w14:paraId="37A2BC48"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r>
      <w:tr w:rsidR="00B257FA" w:rsidRPr="000666D0" w14:paraId="744C9B76" w14:textId="77777777" w:rsidTr="00490DE6">
        <w:trPr>
          <w:trHeight w:val="290"/>
          <w:jc w:val="center"/>
        </w:trPr>
        <w:tc>
          <w:tcPr>
            <w:tcW w:w="1651" w:type="dxa"/>
            <w:noWrap/>
            <w:vAlign w:val="center"/>
          </w:tcPr>
          <w:p w14:paraId="0D5BD200" w14:textId="77777777" w:rsidR="00B257FA" w:rsidRPr="000666D0" w:rsidRDefault="00B257FA" w:rsidP="00490DE6">
            <w:pPr>
              <w:jc w:val="center"/>
              <w:rPr>
                <w:rFonts w:ascii="Century Gothic" w:eastAsia="Times New Roman" w:hAnsi="Century Gothic" w:cs="Calibri"/>
                <w:b/>
                <w:bCs/>
                <w:color w:val="000000"/>
                <w:sz w:val="20"/>
                <w:szCs w:val="20"/>
                <w:lang w:eastAsia="fr-FR"/>
              </w:rPr>
            </w:pPr>
            <w:r>
              <w:rPr>
                <w:rFonts w:ascii="Century Gothic" w:eastAsia="Times New Roman" w:hAnsi="Century Gothic" w:cs="Calibri"/>
                <w:b/>
                <w:bCs/>
                <w:color w:val="000000"/>
                <w:sz w:val="20"/>
                <w:szCs w:val="20"/>
                <w:lang w:eastAsia="fr-FR"/>
              </w:rPr>
              <w:t>SRPR</w:t>
            </w:r>
          </w:p>
        </w:tc>
        <w:tc>
          <w:tcPr>
            <w:tcW w:w="827" w:type="dxa"/>
            <w:noWrap/>
            <w:vAlign w:val="center"/>
          </w:tcPr>
          <w:p w14:paraId="1694075E"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6</w:t>
            </w:r>
          </w:p>
        </w:tc>
        <w:tc>
          <w:tcPr>
            <w:tcW w:w="703" w:type="dxa"/>
            <w:noWrap/>
            <w:vAlign w:val="center"/>
          </w:tcPr>
          <w:p w14:paraId="47EB71EC"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6</w:t>
            </w:r>
          </w:p>
        </w:tc>
        <w:tc>
          <w:tcPr>
            <w:tcW w:w="648" w:type="dxa"/>
            <w:noWrap/>
            <w:vAlign w:val="center"/>
          </w:tcPr>
          <w:p w14:paraId="2E7E3D3B"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1</w:t>
            </w:r>
          </w:p>
        </w:tc>
        <w:tc>
          <w:tcPr>
            <w:tcW w:w="737" w:type="dxa"/>
            <w:noWrap/>
            <w:vAlign w:val="center"/>
          </w:tcPr>
          <w:p w14:paraId="3BFFD9C0"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1</w:t>
            </w:r>
          </w:p>
        </w:tc>
        <w:tc>
          <w:tcPr>
            <w:tcW w:w="600" w:type="dxa"/>
            <w:noWrap/>
            <w:vAlign w:val="center"/>
          </w:tcPr>
          <w:p w14:paraId="61516201" w14:textId="77777777" w:rsidR="00B257FA" w:rsidRDefault="00B257FA" w:rsidP="00490DE6">
            <w:pPr>
              <w:jc w:val="center"/>
              <w:rPr>
                <w:rFonts w:ascii="Century Gothic" w:eastAsia="Times New Roman" w:hAnsi="Century Gothic" w:cs="Calibri"/>
                <w:color w:val="000000"/>
                <w:sz w:val="20"/>
                <w:szCs w:val="20"/>
                <w:lang w:eastAsia="fr-FR"/>
              </w:rPr>
            </w:pPr>
          </w:p>
        </w:tc>
        <w:tc>
          <w:tcPr>
            <w:tcW w:w="1097" w:type="dxa"/>
            <w:noWrap/>
            <w:vAlign w:val="center"/>
          </w:tcPr>
          <w:p w14:paraId="0A29B69B"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1018" w:type="dxa"/>
            <w:noWrap/>
            <w:vAlign w:val="center"/>
          </w:tcPr>
          <w:p w14:paraId="7D4EFD8B" w14:textId="77777777" w:rsidR="00B257FA"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1</w:t>
            </w:r>
          </w:p>
        </w:tc>
        <w:tc>
          <w:tcPr>
            <w:tcW w:w="936" w:type="dxa"/>
            <w:noWrap/>
            <w:vAlign w:val="center"/>
          </w:tcPr>
          <w:p w14:paraId="5A61C843"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r>
      <w:tr w:rsidR="00B257FA" w:rsidRPr="000666D0" w14:paraId="47597CC1" w14:textId="77777777" w:rsidTr="00490DE6">
        <w:trPr>
          <w:trHeight w:val="290"/>
          <w:jc w:val="center"/>
        </w:trPr>
        <w:tc>
          <w:tcPr>
            <w:tcW w:w="1651" w:type="dxa"/>
            <w:noWrap/>
            <w:vAlign w:val="center"/>
          </w:tcPr>
          <w:p w14:paraId="39F4F800" w14:textId="77777777" w:rsidR="00B257FA" w:rsidRDefault="00B257FA" w:rsidP="00490DE6">
            <w:pPr>
              <w:jc w:val="center"/>
              <w:rPr>
                <w:rFonts w:ascii="Century Gothic" w:eastAsia="Times New Roman" w:hAnsi="Century Gothic" w:cs="Calibri"/>
                <w:b/>
                <w:bCs/>
                <w:color w:val="000000"/>
                <w:sz w:val="20"/>
                <w:szCs w:val="20"/>
                <w:lang w:eastAsia="fr-FR"/>
              </w:rPr>
            </w:pPr>
            <w:r>
              <w:rPr>
                <w:rFonts w:ascii="Century Gothic" w:eastAsia="Times New Roman" w:hAnsi="Century Gothic" w:cs="Calibri"/>
                <w:b/>
                <w:bCs/>
                <w:color w:val="000000"/>
                <w:sz w:val="20"/>
                <w:szCs w:val="20"/>
                <w:lang w:eastAsia="fr-FR"/>
              </w:rPr>
              <w:t>REEDUCATION FONCTIONNELLE</w:t>
            </w:r>
          </w:p>
        </w:tc>
        <w:tc>
          <w:tcPr>
            <w:tcW w:w="827" w:type="dxa"/>
            <w:noWrap/>
            <w:vAlign w:val="center"/>
          </w:tcPr>
          <w:p w14:paraId="05DAF4D7" w14:textId="77777777" w:rsidR="00B257FA" w:rsidRDefault="00B257FA" w:rsidP="00490DE6">
            <w:pPr>
              <w:jc w:val="center"/>
              <w:rPr>
                <w:rFonts w:ascii="Century Gothic" w:eastAsia="Times New Roman" w:hAnsi="Century Gothic" w:cs="Calibri"/>
                <w:color w:val="000000"/>
                <w:sz w:val="20"/>
                <w:szCs w:val="20"/>
                <w:lang w:eastAsia="fr-FR"/>
              </w:rPr>
            </w:pPr>
          </w:p>
        </w:tc>
        <w:tc>
          <w:tcPr>
            <w:tcW w:w="703" w:type="dxa"/>
            <w:noWrap/>
            <w:vAlign w:val="center"/>
          </w:tcPr>
          <w:p w14:paraId="3BEF919B" w14:textId="77777777" w:rsidR="00B257FA" w:rsidRPr="000666D0"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2</w:t>
            </w:r>
          </w:p>
        </w:tc>
        <w:tc>
          <w:tcPr>
            <w:tcW w:w="648" w:type="dxa"/>
            <w:noWrap/>
            <w:vAlign w:val="center"/>
          </w:tcPr>
          <w:p w14:paraId="70B1B54E" w14:textId="77777777" w:rsidR="00B257FA"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10</w:t>
            </w:r>
          </w:p>
        </w:tc>
        <w:tc>
          <w:tcPr>
            <w:tcW w:w="737" w:type="dxa"/>
            <w:noWrap/>
            <w:vAlign w:val="center"/>
          </w:tcPr>
          <w:p w14:paraId="6C8574E8" w14:textId="77777777" w:rsidR="00B257FA" w:rsidRDefault="00B257FA" w:rsidP="00490DE6">
            <w:pP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1.5</w:t>
            </w:r>
          </w:p>
        </w:tc>
        <w:tc>
          <w:tcPr>
            <w:tcW w:w="600" w:type="dxa"/>
            <w:noWrap/>
            <w:vAlign w:val="center"/>
          </w:tcPr>
          <w:p w14:paraId="56E2E6FC" w14:textId="77777777" w:rsidR="00B257FA"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1</w:t>
            </w:r>
          </w:p>
        </w:tc>
        <w:tc>
          <w:tcPr>
            <w:tcW w:w="1097" w:type="dxa"/>
            <w:noWrap/>
            <w:vAlign w:val="center"/>
          </w:tcPr>
          <w:p w14:paraId="59C43161"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c>
          <w:tcPr>
            <w:tcW w:w="1018" w:type="dxa"/>
            <w:noWrap/>
            <w:vAlign w:val="center"/>
          </w:tcPr>
          <w:p w14:paraId="56A73C4A" w14:textId="77777777" w:rsidR="00B257FA" w:rsidRDefault="00B257FA" w:rsidP="00490DE6">
            <w:pPr>
              <w:jc w:val="center"/>
              <w:rPr>
                <w:rFonts w:ascii="Century Gothic" w:eastAsia="Times New Roman" w:hAnsi="Century Gothic" w:cs="Calibri"/>
                <w:color w:val="000000"/>
                <w:sz w:val="20"/>
                <w:szCs w:val="20"/>
                <w:lang w:eastAsia="fr-FR"/>
              </w:rPr>
            </w:pPr>
            <w:r>
              <w:rPr>
                <w:rFonts w:ascii="Century Gothic" w:eastAsia="Times New Roman" w:hAnsi="Century Gothic" w:cs="Calibri"/>
                <w:color w:val="000000"/>
                <w:sz w:val="20"/>
                <w:szCs w:val="20"/>
                <w:lang w:eastAsia="fr-FR"/>
              </w:rPr>
              <w:t>2.3</w:t>
            </w:r>
          </w:p>
        </w:tc>
        <w:tc>
          <w:tcPr>
            <w:tcW w:w="936" w:type="dxa"/>
            <w:noWrap/>
            <w:vAlign w:val="center"/>
          </w:tcPr>
          <w:p w14:paraId="68C0CBDB" w14:textId="77777777" w:rsidR="00B257FA" w:rsidRPr="000666D0" w:rsidRDefault="00B257FA" w:rsidP="00490DE6">
            <w:pPr>
              <w:jc w:val="center"/>
              <w:rPr>
                <w:rFonts w:ascii="Century Gothic" w:eastAsia="Times New Roman" w:hAnsi="Century Gothic" w:cs="Calibri"/>
                <w:color w:val="000000"/>
                <w:sz w:val="20"/>
                <w:szCs w:val="20"/>
                <w:lang w:eastAsia="fr-FR"/>
              </w:rPr>
            </w:pPr>
          </w:p>
        </w:tc>
      </w:tr>
      <w:bookmarkEnd w:id="0"/>
    </w:tbl>
    <w:p w14:paraId="4F13DD0B" w14:textId="77777777" w:rsidR="00B257FA" w:rsidRDefault="00B257FA" w:rsidP="00B257FA">
      <w:pPr>
        <w:pStyle w:val="Paragraphedeliste"/>
        <w:spacing w:after="0" w:line="240" w:lineRule="auto"/>
        <w:rPr>
          <w:rFonts w:ascii="Century Gothic" w:hAnsi="Century Gothic"/>
          <w:sz w:val="20"/>
          <w:szCs w:val="20"/>
        </w:rPr>
      </w:pPr>
    </w:p>
    <w:p w14:paraId="4813BC2C" w14:textId="77777777" w:rsidR="00B257FA" w:rsidRPr="000666D0" w:rsidRDefault="00B257FA" w:rsidP="00B257FA">
      <w:pPr>
        <w:pStyle w:val="Titre2"/>
        <w:rPr>
          <w:rFonts w:eastAsia="Times New Roman"/>
          <w:lang w:eastAsia="fr-FR"/>
        </w:rPr>
      </w:pPr>
      <w:r w:rsidRPr="000666D0">
        <w:rPr>
          <w:rFonts w:eastAsia="Times New Roman"/>
          <w:lang w:eastAsia="fr-FR"/>
        </w:rPr>
        <w:t>Activités cliniques hospitalières</w:t>
      </w:r>
    </w:p>
    <w:p w14:paraId="3826C145"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Evaluation de l’état clinique, du fonctionnement du patient et de leur impact sur la vie quotidienne du patient ;</w:t>
      </w:r>
    </w:p>
    <w:p w14:paraId="41D15360"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Mise en situations fonctionnelles pour évaluer l’autonomie des patients aux activités de la vie quotidienne, et préconisation d’adaptation du domicile le cas échéant. </w:t>
      </w:r>
    </w:p>
    <w:p w14:paraId="16786584"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Bilan des déficiences et des incapacités sensitivo-motrices à la phase aigüe ou à distance d’une affection neurologique ;</w:t>
      </w:r>
    </w:p>
    <w:p w14:paraId="23DB320D"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lastRenderedPageBreak/>
        <w:t>Mise en place, après concertation avec le patient et son entourage, d’une stratégie thérapeutique avec des objectifs personnalisés de prise en charge ;</w:t>
      </w:r>
    </w:p>
    <w:p w14:paraId="2B1BDFEF"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Evaluation et traitement des troubles du mouvement, de la spasticité et de la dystonie :</w:t>
      </w:r>
    </w:p>
    <w:p w14:paraId="676AAB0A" w14:textId="77777777" w:rsidR="00B257FA" w:rsidRPr="000666D0" w:rsidRDefault="00B257FA" w:rsidP="00B257FA">
      <w:pPr>
        <w:pStyle w:val="Paragraphedeliste"/>
        <w:numPr>
          <w:ilvl w:val="1"/>
          <w:numId w:val="21"/>
        </w:numPr>
        <w:spacing w:after="0" w:line="240" w:lineRule="auto"/>
        <w:rPr>
          <w:rFonts w:ascii="Century Gothic" w:hAnsi="Century Gothic"/>
          <w:sz w:val="20"/>
          <w:szCs w:val="20"/>
        </w:rPr>
      </w:pPr>
      <w:proofErr w:type="gramStart"/>
      <w:r w:rsidRPr="000666D0">
        <w:rPr>
          <w:rFonts w:ascii="Century Gothic" w:hAnsi="Century Gothic"/>
          <w:sz w:val="20"/>
          <w:szCs w:val="20"/>
        </w:rPr>
        <w:t>bloc</w:t>
      </w:r>
      <w:proofErr w:type="gramEnd"/>
      <w:r w:rsidRPr="000666D0">
        <w:rPr>
          <w:rFonts w:ascii="Century Gothic" w:hAnsi="Century Gothic"/>
          <w:sz w:val="20"/>
          <w:szCs w:val="20"/>
        </w:rPr>
        <w:t xml:space="preserve"> </w:t>
      </w:r>
      <w:proofErr w:type="spellStart"/>
      <w:r w:rsidRPr="000666D0">
        <w:rPr>
          <w:rFonts w:ascii="Century Gothic" w:hAnsi="Century Gothic"/>
          <w:sz w:val="20"/>
          <w:szCs w:val="20"/>
        </w:rPr>
        <w:t>neuro-moteur</w:t>
      </w:r>
      <w:proofErr w:type="spellEnd"/>
      <w:r w:rsidRPr="000666D0">
        <w:rPr>
          <w:rFonts w:ascii="Century Gothic" w:hAnsi="Century Gothic"/>
          <w:sz w:val="20"/>
          <w:szCs w:val="20"/>
        </w:rPr>
        <w:t xml:space="preserve"> périphériques</w:t>
      </w:r>
    </w:p>
    <w:p w14:paraId="023088F6" w14:textId="77777777" w:rsidR="00B257FA" w:rsidRPr="000666D0" w:rsidRDefault="00B257FA" w:rsidP="00B257FA">
      <w:pPr>
        <w:pStyle w:val="Paragraphedeliste"/>
        <w:numPr>
          <w:ilvl w:val="1"/>
          <w:numId w:val="21"/>
        </w:numPr>
        <w:spacing w:after="0" w:line="240" w:lineRule="auto"/>
        <w:rPr>
          <w:rFonts w:ascii="Century Gothic" w:hAnsi="Century Gothic"/>
          <w:sz w:val="20"/>
          <w:szCs w:val="20"/>
        </w:rPr>
      </w:pPr>
      <w:proofErr w:type="gramStart"/>
      <w:r w:rsidRPr="000666D0">
        <w:rPr>
          <w:rFonts w:ascii="Century Gothic" w:hAnsi="Century Gothic"/>
          <w:sz w:val="20"/>
          <w:szCs w:val="20"/>
        </w:rPr>
        <w:t>traitement</w:t>
      </w:r>
      <w:proofErr w:type="gramEnd"/>
      <w:r w:rsidRPr="000666D0">
        <w:rPr>
          <w:rFonts w:ascii="Century Gothic" w:hAnsi="Century Gothic"/>
          <w:sz w:val="20"/>
          <w:szCs w:val="20"/>
        </w:rPr>
        <w:t xml:space="preserve"> par injection de toxine botulinique ; test au </w:t>
      </w:r>
      <w:proofErr w:type="spellStart"/>
      <w:r w:rsidRPr="000666D0">
        <w:rPr>
          <w:rFonts w:ascii="Century Gothic" w:hAnsi="Century Gothic"/>
          <w:sz w:val="20"/>
          <w:szCs w:val="20"/>
        </w:rPr>
        <w:t>baclofen</w:t>
      </w:r>
      <w:proofErr w:type="spellEnd"/>
    </w:p>
    <w:p w14:paraId="1B02EF2E"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Réadaptation à l’effort après lésion neurologique ;</w:t>
      </w:r>
    </w:p>
    <w:p w14:paraId="5A9E78D3"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Activité de consultation ;</w:t>
      </w:r>
    </w:p>
    <w:p w14:paraId="0C8E2194"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Consultations spécifiques handicap et famille ;</w:t>
      </w:r>
    </w:p>
    <w:p w14:paraId="43AAE5F6"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 xml:space="preserve">Consultation d’évaluation de 1ère ligne des troubles vésico-sphinctériens d’origine neurologique avec </w:t>
      </w:r>
      <w:proofErr w:type="spellStart"/>
      <w:r w:rsidRPr="000666D0">
        <w:rPr>
          <w:rFonts w:ascii="Century Gothic" w:hAnsi="Century Gothic"/>
          <w:sz w:val="20"/>
          <w:szCs w:val="20"/>
        </w:rPr>
        <w:t>débimétrie</w:t>
      </w:r>
      <w:proofErr w:type="spellEnd"/>
      <w:r w:rsidRPr="000666D0">
        <w:rPr>
          <w:rFonts w:ascii="Century Gothic" w:hAnsi="Century Gothic"/>
          <w:sz w:val="20"/>
          <w:szCs w:val="20"/>
        </w:rPr>
        <w:t> ;</w:t>
      </w:r>
    </w:p>
    <w:p w14:paraId="0E44D4E1"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Ateliers d’auto-rééducation personnalisés ;</w:t>
      </w:r>
    </w:p>
    <w:p w14:paraId="01A76C4C" w14:textId="77777777" w:rsidR="00B257FA" w:rsidRDefault="00B257FA" w:rsidP="00B257FA">
      <w:pPr>
        <w:pStyle w:val="Paragraphedeliste"/>
        <w:numPr>
          <w:ilvl w:val="0"/>
          <w:numId w:val="21"/>
        </w:numPr>
        <w:spacing w:after="0" w:line="240" w:lineRule="auto"/>
        <w:rPr>
          <w:rFonts w:ascii="Century Gothic" w:hAnsi="Century Gothic"/>
          <w:sz w:val="20"/>
          <w:szCs w:val="20"/>
        </w:rPr>
      </w:pPr>
      <w:r w:rsidRPr="000666D0">
        <w:rPr>
          <w:rFonts w:ascii="Century Gothic" w:hAnsi="Century Gothic"/>
          <w:sz w:val="20"/>
          <w:szCs w:val="20"/>
        </w:rPr>
        <w:t xml:space="preserve">Bilan </w:t>
      </w:r>
      <w:proofErr w:type="spellStart"/>
      <w:r w:rsidRPr="000666D0">
        <w:rPr>
          <w:rFonts w:ascii="Century Gothic" w:hAnsi="Century Gothic"/>
          <w:sz w:val="20"/>
          <w:szCs w:val="20"/>
        </w:rPr>
        <w:t>neuro-psychologique</w:t>
      </w:r>
      <w:proofErr w:type="spellEnd"/>
      <w:r w:rsidRPr="000666D0">
        <w:rPr>
          <w:rFonts w:ascii="Century Gothic" w:hAnsi="Century Gothic"/>
          <w:sz w:val="20"/>
          <w:szCs w:val="20"/>
        </w:rPr>
        <w:t xml:space="preserve"> (BNP) avant une éventuelle reprise du travail ou de la conduite par un neuropsychologue du service</w:t>
      </w:r>
    </w:p>
    <w:p w14:paraId="0EF247B3" w14:textId="77777777" w:rsidR="00B257FA" w:rsidRDefault="00B257FA" w:rsidP="00B257FA">
      <w:pPr>
        <w:pStyle w:val="Paragraphedeliste"/>
        <w:numPr>
          <w:ilvl w:val="0"/>
          <w:numId w:val="21"/>
        </w:numPr>
        <w:spacing w:after="0" w:line="240" w:lineRule="auto"/>
        <w:rPr>
          <w:rFonts w:ascii="Century Gothic" w:hAnsi="Century Gothic"/>
          <w:sz w:val="20"/>
          <w:szCs w:val="20"/>
        </w:rPr>
      </w:pPr>
      <w:r>
        <w:rPr>
          <w:rFonts w:ascii="Century Gothic" w:hAnsi="Century Gothic"/>
          <w:sz w:val="20"/>
          <w:szCs w:val="20"/>
        </w:rPr>
        <w:t xml:space="preserve">Consultation multidisciplinaire d’appareillage </w:t>
      </w:r>
    </w:p>
    <w:p w14:paraId="687B8CC6" w14:textId="77777777" w:rsidR="00B257FA" w:rsidRDefault="00B257FA" w:rsidP="00B849F8">
      <w:pPr>
        <w:spacing w:after="0" w:line="240" w:lineRule="auto"/>
        <w:jc w:val="both"/>
        <w:rPr>
          <w:rFonts w:ascii="Century Gothic" w:hAnsi="Century Gothic"/>
          <w:color w:val="555E5E"/>
        </w:rPr>
      </w:pPr>
    </w:p>
    <w:p w14:paraId="4E43C6EC" w14:textId="19331B76" w:rsidR="00B257FA" w:rsidRPr="00B257FA" w:rsidRDefault="00B257FA" w:rsidP="00B257FA">
      <w:pPr>
        <w:pStyle w:val="Titre1"/>
      </w:pPr>
      <w:r w:rsidRPr="00B257FA">
        <w:t>LES MISSIONS ATTACHEES AU POSTE</w:t>
      </w:r>
    </w:p>
    <w:p w14:paraId="2245BD0E" w14:textId="77777777" w:rsidR="00B257FA" w:rsidRDefault="00B257FA" w:rsidP="00B257FA">
      <w:pPr>
        <w:pStyle w:val="Titre1"/>
        <w:spacing w:after="0"/>
      </w:pPr>
    </w:p>
    <w:p w14:paraId="6D4FF72D" w14:textId="68728418" w:rsidR="00B257FA" w:rsidRDefault="00B257FA" w:rsidP="00B257FA">
      <w:pPr>
        <w:pStyle w:val="Titre1"/>
      </w:pPr>
      <w:r w:rsidRPr="000666D0">
        <w:t>Missions générales</w:t>
      </w:r>
    </w:p>
    <w:p w14:paraId="0C428DE6" w14:textId="77777777" w:rsidR="00B257FA" w:rsidRPr="00B257FA" w:rsidRDefault="00B257FA" w:rsidP="00B257FA">
      <w:pPr>
        <w:spacing w:after="0"/>
        <w:rPr>
          <w:lang w:eastAsia="fr-FR"/>
        </w:rPr>
      </w:pPr>
    </w:p>
    <w:p w14:paraId="2FCA634C" w14:textId="77777777" w:rsidR="00B257FA" w:rsidRPr="000666D0" w:rsidRDefault="00B257FA" w:rsidP="00B257FA">
      <w:pPr>
        <w:spacing w:after="0" w:line="240" w:lineRule="auto"/>
        <w:jc w:val="both"/>
        <w:rPr>
          <w:rFonts w:ascii="Century Gothic" w:hAnsi="Century Gothic"/>
          <w:sz w:val="20"/>
          <w:szCs w:val="20"/>
        </w:rPr>
      </w:pPr>
      <w:r w:rsidRPr="000666D0">
        <w:rPr>
          <w:rFonts w:ascii="Century Gothic" w:hAnsi="Century Gothic"/>
          <w:sz w:val="20"/>
          <w:szCs w:val="20"/>
        </w:rPr>
        <w:t>Le service constitue l'</w:t>
      </w:r>
      <w:r w:rsidRPr="00077D75">
        <w:rPr>
          <w:rFonts w:ascii="Century Gothic" w:hAnsi="Century Gothic"/>
          <w:sz w:val="20"/>
          <w:szCs w:val="20"/>
        </w:rPr>
        <w:t>entité</w:t>
      </w:r>
      <w:r w:rsidRPr="000666D0">
        <w:rPr>
          <w:rFonts w:ascii="Century Gothic" w:hAnsi="Century Gothic"/>
          <w:sz w:val="20"/>
          <w:szCs w:val="20"/>
        </w:rPr>
        <w:t xml:space="preserve"> de référence en matière d'organisation, de pertinence, de qualité et de sécurité des soins, d'encadrement de proximité des équipes médicales et paramédicales incluant les rééducateurs, d'encadrement des internes et des étudiants en santé ainsi qu'en matière de qualité de vie au travail.</w:t>
      </w:r>
    </w:p>
    <w:p w14:paraId="02502E75" w14:textId="77777777" w:rsidR="00B257FA" w:rsidRPr="000666D0" w:rsidRDefault="00B257FA" w:rsidP="00B257FA">
      <w:pPr>
        <w:spacing w:after="0" w:line="240" w:lineRule="auto"/>
        <w:rPr>
          <w:rFonts w:ascii="Century Gothic" w:hAnsi="Century Gothic"/>
          <w:sz w:val="20"/>
          <w:szCs w:val="20"/>
        </w:rPr>
      </w:pPr>
    </w:p>
    <w:p w14:paraId="5912FBCB" w14:textId="77777777" w:rsidR="00B257FA" w:rsidRPr="000666D0" w:rsidRDefault="00B257FA" w:rsidP="00B257FA">
      <w:pPr>
        <w:spacing w:after="0" w:line="240" w:lineRule="auto"/>
        <w:rPr>
          <w:rFonts w:ascii="Century Gothic" w:hAnsi="Century Gothic"/>
          <w:sz w:val="20"/>
          <w:szCs w:val="20"/>
        </w:rPr>
      </w:pPr>
      <w:r w:rsidRPr="000666D0">
        <w:rPr>
          <w:rFonts w:ascii="Century Gothic" w:hAnsi="Century Gothic"/>
          <w:sz w:val="20"/>
          <w:szCs w:val="20"/>
        </w:rPr>
        <w:t>Il est dirigé par un chef de service en étroite collaboration avec le cadre de santé.</w:t>
      </w:r>
    </w:p>
    <w:p w14:paraId="48528AEA" w14:textId="77777777" w:rsidR="00B257FA" w:rsidRPr="000666D0" w:rsidRDefault="00B257FA" w:rsidP="00B257FA">
      <w:pPr>
        <w:spacing w:after="0" w:line="240" w:lineRule="auto"/>
        <w:rPr>
          <w:rFonts w:ascii="Century Gothic" w:hAnsi="Century Gothic"/>
          <w:sz w:val="20"/>
          <w:szCs w:val="20"/>
        </w:rPr>
      </w:pPr>
    </w:p>
    <w:p w14:paraId="21A820A1" w14:textId="77777777" w:rsidR="00B257FA" w:rsidRPr="000666D0" w:rsidRDefault="00B257FA" w:rsidP="00B257FA">
      <w:pPr>
        <w:spacing w:after="0" w:line="240" w:lineRule="auto"/>
        <w:jc w:val="both"/>
        <w:rPr>
          <w:rFonts w:ascii="Century Gothic" w:hAnsi="Century Gothic"/>
          <w:sz w:val="20"/>
          <w:szCs w:val="20"/>
        </w:rPr>
      </w:pPr>
      <w:r w:rsidRPr="000666D0">
        <w:rPr>
          <w:rFonts w:ascii="Century Gothic" w:hAnsi="Century Gothic"/>
          <w:sz w:val="20"/>
          <w:szCs w:val="20"/>
        </w:rPr>
        <w:t>Le chef de service est l’intermédiaire entre la direction et l’équipe pluridisciplinaire. En lien avec le chef de pôle, il pilote, anime, coordonne et organise son service par délégation de la direction de l’établissement. Le chef de service et le cadre de santé sont associés au projet d'établissement, au projet de gouvernance et de management participatif et aux projets d'évolution de l'organisation interne de l'établissement. Ils organisent la concertation interne et favorisent le dialogue avec l'encadrement et les personnels médicaux et paramédicaux du service.</w:t>
      </w:r>
    </w:p>
    <w:p w14:paraId="49F8905D" w14:textId="77777777" w:rsidR="00B257FA" w:rsidRPr="000666D0" w:rsidRDefault="00B257FA" w:rsidP="00B257FA">
      <w:pPr>
        <w:spacing w:after="0" w:line="240" w:lineRule="auto"/>
        <w:rPr>
          <w:rFonts w:ascii="Century Gothic" w:hAnsi="Century Gothic"/>
          <w:sz w:val="20"/>
          <w:szCs w:val="20"/>
        </w:rPr>
      </w:pPr>
    </w:p>
    <w:p w14:paraId="5FC70B63" w14:textId="77777777" w:rsidR="00B257FA" w:rsidRPr="000666D0" w:rsidRDefault="00B257FA" w:rsidP="00B257FA">
      <w:pPr>
        <w:spacing w:after="0" w:line="240" w:lineRule="auto"/>
        <w:rPr>
          <w:rFonts w:ascii="Century Gothic" w:hAnsi="Century Gothic"/>
          <w:sz w:val="20"/>
          <w:szCs w:val="20"/>
        </w:rPr>
      </w:pPr>
      <w:r w:rsidRPr="000666D0">
        <w:rPr>
          <w:rFonts w:ascii="Century Gothic" w:hAnsi="Century Gothic"/>
          <w:sz w:val="20"/>
          <w:szCs w:val="20"/>
        </w:rPr>
        <w:t>A ce titre, le chef de service :</w:t>
      </w:r>
    </w:p>
    <w:p w14:paraId="720CB95E"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proofErr w:type="gramStart"/>
      <w:r w:rsidRPr="000666D0">
        <w:rPr>
          <w:rFonts w:ascii="Century Gothic" w:hAnsi="Century Gothic"/>
          <w:sz w:val="20"/>
          <w:szCs w:val="20"/>
        </w:rPr>
        <w:t>élabore</w:t>
      </w:r>
      <w:proofErr w:type="gramEnd"/>
      <w:r w:rsidRPr="000666D0">
        <w:rPr>
          <w:rFonts w:ascii="Century Gothic" w:hAnsi="Century Gothic"/>
          <w:sz w:val="20"/>
          <w:szCs w:val="20"/>
        </w:rPr>
        <w:t xml:space="preserve"> et conduit le projet de service ;</w:t>
      </w:r>
    </w:p>
    <w:p w14:paraId="6D303445"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proofErr w:type="gramStart"/>
      <w:r w:rsidRPr="000666D0">
        <w:rPr>
          <w:rFonts w:ascii="Century Gothic" w:hAnsi="Century Gothic"/>
          <w:sz w:val="20"/>
          <w:szCs w:val="20"/>
        </w:rPr>
        <w:t>organise</w:t>
      </w:r>
      <w:proofErr w:type="gramEnd"/>
      <w:r w:rsidRPr="000666D0">
        <w:rPr>
          <w:rFonts w:ascii="Century Gothic" w:hAnsi="Century Gothic"/>
          <w:sz w:val="20"/>
          <w:szCs w:val="20"/>
        </w:rPr>
        <w:t xml:space="preserve"> et assure la gestion administrative le service ;</w:t>
      </w:r>
    </w:p>
    <w:p w14:paraId="6D523546"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proofErr w:type="gramStart"/>
      <w:r w:rsidRPr="000666D0">
        <w:rPr>
          <w:rFonts w:ascii="Century Gothic" w:hAnsi="Century Gothic"/>
          <w:sz w:val="20"/>
          <w:szCs w:val="20"/>
        </w:rPr>
        <w:t>élabore</w:t>
      </w:r>
      <w:proofErr w:type="gramEnd"/>
      <w:r w:rsidRPr="000666D0">
        <w:rPr>
          <w:rFonts w:ascii="Century Gothic" w:hAnsi="Century Gothic"/>
          <w:sz w:val="20"/>
          <w:szCs w:val="20"/>
        </w:rPr>
        <w:t xml:space="preserve"> et conduit la prise en charge des usagers ;</w:t>
      </w:r>
    </w:p>
    <w:p w14:paraId="05D2A22A"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proofErr w:type="gramStart"/>
      <w:r w:rsidRPr="000666D0">
        <w:rPr>
          <w:rFonts w:ascii="Century Gothic" w:hAnsi="Century Gothic"/>
          <w:sz w:val="20"/>
          <w:szCs w:val="20"/>
        </w:rPr>
        <w:t>met</w:t>
      </w:r>
      <w:proofErr w:type="gramEnd"/>
      <w:r w:rsidRPr="000666D0">
        <w:rPr>
          <w:rFonts w:ascii="Century Gothic" w:hAnsi="Century Gothic"/>
          <w:sz w:val="20"/>
          <w:szCs w:val="20"/>
        </w:rPr>
        <w:t xml:space="preserve"> en œuvre les moyens nécessaires pour atteindre les objectifs du service ; </w:t>
      </w:r>
    </w:p>
    <w:p w14:paraId="7CA3CFBD" w14:textId="77777777" w:rsidR="00B257FA" w:rsidRPr="000666D0" w:rsidRDefault="00B257FA" w:rsidP="00B257FA">
      <w:pPr>
        <w:pStyle w:val="Paragraphedeliste"/>
        <w:numPr>
          <w:ilvl w:val="0"/>
          <w:numId w:val="21"/>
        </w:numPr>
        <w:spacing w:after="0" w:line="240" w:lineRule="auto"/>
        <w:rPr>
          <w:rFonts w:ascii="Century Gothic" w:hAnsi="Century Gothic"/>
          <w:sz w:val="20"/>
          <w:szCs w:val="20"/>
        </w:rPr>
      </w:pPr>
      <w:proofErr w:type="gramStart"/>
      <w:r w:rsidRPr="000666D0">
        <w:rPr>
          <w:rFonts w:ascii="Century Gothic" w:hAnsi="Century Gothic"/>
          <w:sz w:val="20"/>
          <w:szCs w:val="20"/>
        </w:rPr>
        <w:t>contribue</w:t>
      </w:r>
      <w:proofErr w:type="gramEnd"/>
      <w:r w:rsidRPr="000666D0">
        <w:rPr>
          <w:rFonts w:ascii="Century Gothic" w:hAnsi="Century Gothic"/>
          <w:sz w:val="20"/>
          <w:szCs w:val="20"/>
        </w:rPr>
        <w:t xml:space="preserve"> aux échanges de son service avec l’environnement institutionnel.</w:t>
      </w:r>
    </w:p>
    <w:p w14:paraId="3365857D" w14:textId="77777777" w:rsidR="00B257FA" w:rsidRPr="000666D0" w:rsidRDefault="00B257FA" w:rsidP="00B257FA">
      <w:pPr>
        <w:spacing w:after="0" w:line="240" w:lineRule="auto"/>
        <w:jc w:val="both"/>
        <w:rPr>
          <w:rFonts w:ascii="Century Gothic" w:hAnsi="Century Gothic"/>
          <w:sz w:val="20"/>
          <w:szCs w:val="20"/>
        </w:rPr>
      </w:pPr>
    </w:p>
    <w:p w14:paraId="58BEE1C1" w14:textId="77777777" w:rsidR="00B257FA" w:rsidRPr="000666D0" w:rsidRDefault="00B257FA" w:rsidP="00B257FA">
      <w:pPr>
        <w:spacing w:after="0" w:line="240" w:lineRule="auto"/>
        <w:jc w:val="both"/>
        <w:rPr>
          <w:rFonts w:ascii="Century Gothic" w:hAnsi="Century Gothic"/>
          <w:sz w:val="20"/>
          <w:szCs w:val="20"/>
        </w:rPr>
      </w:pPr>
      <w:r w:rsidRPr="000666D0">
        <w:rPr>
          <w:rFonts w:ascii="Century Gothic" w:hAnsi="Century Gothic"/>
          <w:sz w:val="20"/>
          <w:szCs w:val="20"/>
        </w:rPr>
        <w:t xml:space="preserve">Le chef de service assure le recrutement médical, l’animation et la gestion de l’équipe, la coordination de la recherche et de l’enseignement, l’organisation des soins en lien avec le cadre de santé, la gestion des risques (démarche qualité) et à chaque fois que possible, il s’engage dans la vie institutionnelle de l’hôpital et dans celle de la discipline. Il est responsable </w:t>
      </w:r>
      <w:r w:rsidRPr="000666D0">
        <w:rPr>
          <w:rFonts w:ascii="Century Gothic" w:hAnsi="Century Gothic"/>
          <w:sz w:val="20"/>
          <w:szCs w:val="20"/>
        </w:rPr>
        <w:lastRenderedPageBreak/>
        <w:t>de l'évaluation des actions médicales de son service, du recueil des indicateurs de qualité et de sécurité, et la mise en œuvre des actions d'amélioration du service.</w:t>
      </w:r>
      <w:r>
        <w:rPr>
          <w:rFonts w:ascii="Century Gothic" w:hAnsi="Century Gothic"/>
          <w:sz w:val="20"/>
          <w:szCs w:val="20"/>
        </w:rPr>
        <w:t xml:space="preserve"> Il travaille en collaboration avec le DIM pour optimiser la traçabilité de l’activité ainsi que sa valorisation.</w:t>
      </w:r>
    </w:p>
    <w:p w14:paraId="2DE77EAF" w14:textId="77777777" w:rsidR="00B257FA" w:rsidRPr="000666D0" w:rsidRDefault="00B257FA" w:rsidP="00B257FA">
      <w:pPr>
        <w:spacing w:after="0" w:line="240" w:lineRule="auto"/>
        <w:rPr>
          <w:rFonts w:ascii="Century Gothic" w:hAnsi="Century Gothic"/>
          <w:sz w:val="20"/>
          <w:szCs w:val="20"/>
        </w:rPr>
      </w:pPr>
    </w:p>
    <w:p w14:paraId="24F3C3B0" w14:textId="77777777" w:rsidR="00B257FA" w:rsidRPr="000666D0" w:rsidRDefault="00B257FA" w:rsidP="00B257FA">
      <w:pPr>
        <w:pStyle w:val="Titre1"/>
      </w:pPr>
      <w:r w:rsidRPr="000666D0">
        <w:t>Missions spécifiques</w:t>
      </w:r>
    </w:p>
    <w:p w14:paraId="234A71C1" w14:textId="77777777" w:rsidR="00B257FA" w:rsidRDefault="00B257FA" w:rsidP="00B257FA">
      <w:pPr>
        <w:spacing w:after="0" w:line="240" w:lineRule="auto"/>
        <w:rPr>
          <w:rFonts w:ascii="Century Gothic" w:eastAsia="Times New Roman" w:hAnsi="Century Gothic" w:cs="Times New Roman"/>
          <w:b/>
          <w:bCs/>
          <w:color w:val="2E74B5" w:themeColor="accent1" w:themeShade="BF"/>
          <w:sz w:val="20"/>
          <w:szCs w:val="20"/>
          <w:lang w:eastAsia="fr-FR"/>
        </w:rPr>
      </w:pPr>
    </w:p>
    <w:p w14:paraId="7EB66FDD" w14:textId="41475E37" w:rsidR="00B257FA" w:rsidRPr="00B257FA" w:rsidRDefault="00B257FA" w:rsidP="00B257FA">
      <w:pPr>
        <w:pStyle w:val="Titre2"/>
        <w:rPr>
          <w:rFonts w:eastAsia="Times New Roman"/>
          <w:lang w:eastAsia="fr-FR"/>
        </w:rPr>
      </w:pPr>
      <w:r w:rsidRPr="000666D0">
        <w:rPr>
          <w:rFonts w:eastAsia="Times New Roman"/>
          <w:lang w:eastAsia="fr-FR"/>
        </w:rPr>
        <w:t>Maintenir et développer les liens avec les autres services du pôle Neuro Sainte-Anne dans le cadre des activités transversales d’évaluation et d’orientation des patients du pôle.</w:t>
      </w:r>
    </w:p>
    <w:p w14:paraId="37EE7B3B" w14:textId="77777777" w:rsidR="00B257FA" w:rsidRPr="000666D0" w:rsidRDefault="00B257FA" w:rsidP="00B257FA">
      <w:pPr>
        <w:spacing w:after="0" w:line="240" w:lineRule="auto"/>
        <w:jc w:val="both"/>
        <w:rPr>
          <w:rFonts w:ascii="Century Gothic" w:hAnsi="Century Gothic"/>
          <w:bCs/>
          <w:sz w:val="20"/>
          <w:szCs w:val="20"/>
        </w:rPr>
      </w:pPr>
      <w:r>
        <w:rPr>
          <w:rFonts w:ascii="Century Gothic" w:hAnsi="Century Gothic"/>
          <w:bCs/>
          <w:sz w:val="20"/>
          <w:szCs w:val="20"/>
        </w:rPr>
        <w:t>Une grande majorité</w:t>
      </w:r>
      <w:r w:rsidRPr="000666D0">
        <w:rPr>
          <w:rFonts w:ascii="Century Gothic" w:hAnsi="Century Gothic"/>
          <w:bCs/>
          <w:sz w:val="20"/>
          <w:szCs w:val="20"/>
        </w:rPr>
        <w:t xml:space="preserve"> des patients</w:t>
      </w:r>
      <w:r>
        <w:rPr>
          <w:rFonts w:ascii="Century Gothic" w:hAnsi="Century Gothic"/>
          <w:bCs/>
          <w:sz w:val="20"/>
          <w:szCs w:val="20"/>
        </w:rPr>
        <w:t xml:space="preserve"> admis </w:t>
      </w:r>
      <w:r w:rsidRPr="000666D0">
        <w:rPr>
          <w:rFonts w:ascii="Century Gothic" w:hAnsi="Century Gothic"/>
          <w:bCs/>
          <w:sz w:val="20"/>
          <w:szCs w:val="20"/>
        </w:rPr>
        <w:t>dans le service SMR proviennent des services MCO du pôle Neuro Sainte-Anne</w:t>
      </w:r>
      <w:r>
        <w:rPr>
          <w:rFonts w:ascii="Century Gothic" w:hAnsi="Century Gothic"/>
          <w:bCs/>
          <w:sz w:val="20"/>
          <w:szCs w:val="20"/>
        </w:rPr>
        <w:t xml:space="preserve">. Le renforcement des liens </w:t>
      </w:r>
      <w:r w:rsidRPr="000666D0">
        <w:rPr>
          <w:rFonts w:ascii="Century Gothic" w:hAnsi="Century Gothic"/>
          <w:bCs/>
          <w:sz w:val="20"/>
          <w:szCs w:val="20"/>
        </w:rPr>
        <w:t>entre les différentes équipes</w:t>
      </w:r>
      <w:r>
        <w:rPr>
          <w:rFonts w:ascii="Century Gothic" w:hAnsi="Century Gothic"/>
          <w:bCs/>
          <w:sz w:val="20"/>
          <w:szCs w:val="20"/>
        </w:rPr>
        <w:t xml:space="preserve"> du Pôle et celle de SMR permettrait d’optimiser la prise en charge rééducative dès la phase aiguë de leur pathologie neurologique. Le projet d’agrandissement du service de SMR permettra d’accroître ses interactions avec les services de Neuro-Réanimation, de Neurologie et de Neurochirurgie.</w:t>
      </w:r>
    </w:p>
    <w:p w14:paraId="52FA4958" w14:textId="77777777" w:rsidR="00B257FA" w:rsidRPr="000666D0" w:rsidRDefault="00B257FA" w:rsidP="00B257FA">
      <w:pPr>
        <w:spacing w:after="0" w:line="240" w:lineRule="auto"/>
        <w:jc w:val="both"/>
        <w:rPr>
          <w:rFonts w:ascii="Century Gothic" w:hAnsi="Century Gothic"/>
          <w:bCs/>
          <w:sz w:val="20"/>
          <w:szCs w:val="20"/>
        </w:rPr>
      </w:pPr>
    </w:p>
    <w:p w14:paraId="66DC96AC" w14:textId="250DA5B7" w:rsidR="00B257FA" w:rsidRPr="000666D0" w:rsidRDefault="00B257FA" w:rsidP="00B257FA">
      <w:pPr>
        <w:pStyle w:val="Titre2"/>
        <w:rPr>
          <w:rFonts w:eastAsia="Times New Roman"/>
          <w:lang w:eastAsia="fr-FR"/>
        </w:rPr>
      </w:pPr>
      <w:r w:rsidRPr="000666D0">
        <w:rPr>
          <w:rFonts w:eastAsia="Times New Roman"/>
          <w:lang w:eastAsia="fr-FR"/>
        </w:rPr>
        <w:t>Maintenir et développer les lien établis avec les services de psychiatrie du GHU Paris</w:t>
      </w:r>
      <w:r>
        <w:rPr>
          <w:rFonts w:eastAsia="Times New Roman"/>
          <w:lang w:eastAsia="fr-FR"/>
        </w:rPr>
        <w:t>.</w:t>
      </w:r>
    </w:p>
    <w:p w14:paraId="378D3F4B" w14:textId="77777777" w:rsidR="00B257FA" w:rsidRDefault="00B257FA" w:rsidP="00B257FA">
      <w:pPr>
        <w:pStyle w:val="Paragraphedeliste"/>
        <w:spacing w:after="0" w:line="240" w:lineRule="auto"/>
        <w:ind w:left="0"/>
        <w:contextualSpacing w:val="0"/>
        <w:jc w:val="both"/>
        <w:rPr>
          <w:rFonts w:ascii="Century Gothic" w:hAnsi="Century Gothic"/>
          <w:bCs/>
          <w:sz w:val="20"/>
          <w:szCs w:val="20"/>
        </w:rPr>
      </w:pPr>
      <w:r>
        <w:rPr>
          <w:rFonts w:ascii="Century Gothic" w:hAnsi="Century Gothic"/>
          <w:bCs/>
          <w:sz w:val="20"/>
          <w:szCs w:val="20"/>
        </w:rPr>
        <w:t xml:space="preserve">Les patients de psychiatrie requièrent souvent une prise en charge en SMR tant pour améliorer leur état fonctionnel que psychique. La </w:t>
      </w:r>
      <w:r w:rsidRPr="000666D0">
        <w:rPr>
          <w:rFonts w:ascii="Century Gothic" w:hAnsi="Century Gothic"/>
          <w:bCs/>
          <w:sz w:val="20"/>
          <w:szCs w:val="20"/>
        </w:rPr>
        <w:t xml:space="preserve">proximité avec les services de psychiatrie </w:t>
      </w:r>
      <w:r>
        <w:rPr>
          <w:rFonts w:ascii="Century Gothic" w:hAnsi="Century Gothic"/>
          <w:bCs/>
          <w:sz w:val="20"/>
          <w:szCs w:val="20"/>
        </w:rPr>
        <w:t xml:space="preserve">est une opportunité de développer une offre de soins interdisciplinaire unique pour ces patients. Des collaborations sont déjà établies et se verront amplifiées par l’intégration du service de SMR au futur bâtiment matérialisant l’interface neuropsychiatrique. </w:t>
      </w:r>
    </w:p>
    <w:p w14:paraId="40C1EEEC" w14:textId="77777777" w:rsidR="00B257FA" w:rsidRPr="00077D75" w:rsidRDefault="00B257FA" w:rsidP="00B257FA">
      <w:pPr>
        <w:pStyle w:val="Paragraphedeliste"/>
        <w:spacing w:after="0" w:line="240" w:lineRule="auto"/>
        <w:ind w:left="0"/>
        <w:contextualSpacing w:val="0"/>
        <w:jc w:val="both"/>
        <w:rPr>
          <w:rFonts w:ascii="Century Gothic" w:hAnsi="Century Gothic"/>
          <w:bCs/>
          <w:sz w:val="20"/>
          <w:szCs w:val="20"/>
        </w:rPr>
      </w:pPr>
    </w:p>
    <w:p w14:paraId="6AF7A2EE" w14:textId="3625134D" w:rsidR="00B257FA" w:rsidRPr="000666D0" w:rsidRDefault="00B257FA" w:rsidP="00B257FA">
      <w:pPr>
        <w:pStyle w:val="Titre2"/>
        <w:rPr>
          <w:rFonts w:eastAsia="Times New Roman"/>
          <w:lang w:eastAsia="fr-FR"/>
        </w:rPr>
      </w:pPr>
      <w:r>
        <w:rPr>
          <w:rFonts w:eastAsia="Times New Roman"/>
          <w:lang w:eastAsia="fr-FR"/>
        </w:rPr>
        <w:t>Développer l’offre SMR au-delà des interactions avec les services des Pôles Neuro-Sainte-Anne et Psychiatriques du G</w:t>
      </w:r>
      <w:r w:rsidRPr="000666D0">
        <w:rPr>
          <w:rFonts w:eastAsia="Times New Roman"/>
          <w:lang w:eastAsia="fr-FR"/>
        </w:rPr>
        <w:t>HU Paris</w:t>
      </w:r>
      <w:r>
        <w:rPr>
          <w:rFonts w:eastAsia="Times New Roman"/>
          <w:lang w:eastAsia="fr-FR"/>
        </w:rPr>
        <w:t>.</w:t>
      </w:r>
    </w:p>
    <w:p w14:paraId="39328470" w14:textId="77777777" w:rsidR="00B257FA" w:rsidRPr="000666D0" w:rsidRDefault="00B257FA" w:rsidP="00B257FA">
      <w:pPr>
        <w:spacing w:after="0" w:line="240" w:lineRule="auto"/>
        <w:jc w:val="both"/>
        <w:rPr>
          <w:rFonts w:ascii="Century Gothic" w:hAnsi="Century Gothic"/>
          <w:sz w:val="20"/>
          <w:szCs w:val="20"/>
        </w:rPr>
      </w:pPr>
      <w:r>
        <w:rPr>
          <w:rFonts w:ascii="Century Gothic" w:hAnsi="Century Gothic"/>
          <w:sz w:val="20"/>
          <w:szCs w:val="20"/>
        </w:rPr>
        <w:t>De par ses capacités d’hospitalisation conventionnelle, d’hospitalisation de jour et d’hospitalisation à domicile de rééducation, le service de SMR participe déjà à l’offre de soins francilienne en neuro-rééducation. Leur redimensionnement futur lui permettra d’en être acteur majeur. De par les conventions du GHU-Paris avec l’Assistance-Publique Hôpitaux de Paris et de son affiliation à l’Université de Paris Cité, des collaborations avec d’autres services de rééducation, neurologique ou locomotrice, sont appelées à se développer.</w:t>
      </w:r>
    </w:p>
    <w:p w14:paraId="620F9FD1" w14:textId="77777777" w:rsidR="00B257FA" w:rsidRDefault="00B257FA" w:rsidP="00B257FA">
      <w:pPr>
        <w:spacing w:after="0" w:line="240" w:lineRule="auto"/>
        <w:rPr>
          <w:rFonts w:ascii="Century Gothic" w:eastAsia="Times New Roman" w:hAnsi="Century Gothic" w:cs="Times New Roman"/>
          <w:b/>
          <w:bCs/>
          <w:color w:val="2E74B5" w:themeColor="accent1" w:themeShade="BF"/>
          <w:sz w:val="20"/>
          <w:szCs w:val="20"/>
          <w:lang w:eastAsia="fr-FR"/>
        </w:rPr>
      </w:pPr>
    </w:p>
    <w:p w14:paraId="0C72FAAF" w14:textId="476248A3" w:rsidR="00B257FA" w:rsidRPr="000666D0" w:rsidRDefault="00B257FA" w:rsidP="00B257FA">
      <w:pPr>
        <w:pStyle w:val="Titre2"/>
        <w:rPr>
          <w:rFonts w:eastAsia="Times New Roman"/>
          <w:lang w:eastAsia="fr-FR"/>
        </w:rPr>
      </w:pPr>
      <w:r w:rsidRPr="000666D0">
        <w:rPr>
          <w:rFonts w:eastAsia="Times New Roman"/>
          <w:lang w:eastAsia="fr-FR"/>
        </w:rPr>
        <w:t xml:space="preserve">Porter le projet de </w:t>
      </w:r>
      <w:r>
        <w:rPr>
          <w:rFonts w:eastAsia="Times New Roman"/>
          <w:lang w:eastAsia="fr-FR"/>
        </w:rPr>
        <w:t xml:space="preserve">redimensionnement </w:t>
      </w:r>
      <w:r w:rsidRPr="000666D0">
        <w:rPr>
          <w:rFonts w:eastAsia="Times New Roman"/>
          <w:lang w:eastAsia="fr-FR"/>
        </w:rPr>
        <w:t>du service</w:t>
      </w:r>
      <w:r>
        <w:rPr>
          <w:rFonts w:eastAsia="Times New Roman"/>
          <w:lang w:eastAsia="fr-FR"/>
        </w:rPr>
        <w:t>.</w:t>
      </w:r>
      <w:r w:rsidRPr="000666D0">
        <w:rPr>
          <w:rFonts w:eastAsia="Times New Roman"/>
          <w:lang w:eastAsia="fr-FR"/>
        </w:rPr>
        <w:t xml:space="preserve"> </w:t>
      </w:r>
    </w:p>
    <w:p w14:paraId="3207B250" w14:textId="77777777" w:rsidR="00B257FA" w:rsidRPr="000666D0" w:rsidRDefault="00B257FA" w:rsidP="00B257FA">
      <w:pPr>
        <w:spacing w:after="0" w:line="240" w:lineRule="auto"/>
        <w:jc w:val="both"/>
        <w:rPr>
          <w:rFonts w:ascii="Century Gothic" w:hAnsi="Century Gothic"/>
          <w:bCs/>
          <w:sz w:val="20"/>
          <w:szCs w:val="20"/>
        </w:rPr>
      </w:pPr>
      <w:r>
        <w:rPr>
          <w:rFonts w:ascii="Century Gothic" w:hAnsi="Century Gothic"/>
          <w:bCs/>
          <w:sz w:val="20"/>
          <w:szCs w:val="20"/>
        </w:rPr>
        <w:t xml:space="preserve">Le GHU-Pais </w:t>
      </w:r>
      <w:r w:rsidRPr="000666D0">
        <w:rPr>
          <w:rFonts w:ascii="Century Gothic" w:hAnsi="Century Gothic"/>
          <w:bCs/>
          <w:sz w:val="20"/>
          <w:szCs w:val="20"/>
        </w:rPr>
        <w:t xml:space="preserve">est engagé dans un ambitieux projet </w:t>
      </w:r>
      <w:r>
        <w:rPr>
          <w:rFonts w:ascii="Century Gothic" w:hAnsi="Century Gothic"/>
          <w:bCs/>
          <w:sz w:val="20"/>
          <w:szCs w:val="20"/>
        </w:rPr>
        <w:t>de construction d’un nouveau Bâtiment dont l’objectif est de renforcer les interfaces cliniques, technologiques et scientifiques entre la Neurologie et la Psychiatrie. Le service de SMR est l’une des pierres angulaires de ce projet et verra son capacitaire accru, sa plateforme de rééducation modernisée et ses accès au Pôle Neuro-Sainte-Anne, aux expertises psychiatriques et au plateau d’imagerie privilégiés. S’il</w:t>
      </w:r>
      <w:r w:rsidRPr="000666D0">
        <w:rPr>
          <w:rFonts w:ascii="Century Gothic" w:hAnsi="Century Gothic"/>
          <w:bCs/>
          <w:sz w:val="20"/>
          <w:szCs w:val="20"/>
        </w:rPr>
        <w:t xml:space="preserve"> dispose actuellement de 8 lits en hospitalisation complète, de 8 places d’hospitalisation de jour et 5 places d’HAD-R</w:t>
      </w:r>
      <w:r>
        <w:rPr>
          <w:rFonts w:ascii="Century Gothic" w:hAnsi="Century Gothic"/>
          <w:bCs/>
          <w:sz w:val="20"/>
          <w:szCs w:val="20"/>
        </w:rPr>
        <w:t xml:space="preserve">, </w:t>
      </w:r>
      <w:r w:rsidRPr="000666D0">
        <w:rPr>
          <w:rFonts w:ascii="Century Gothic" w:hAnsi="Century Gothic"/>
          <w:bCs/>
          <w:sz w:val="20"/>
          <w:szCs w:val="20"/>
        </w:rPr>
        <w:t>l’ARS a validé l’augmentation des capacités du service à 30 lits d’HC, 12 places d’</w:t>
      </w:r>
      <w:proofErr w:type="spellStart"/>
      <w:r w:rsidRPr="000666D0">
        <w:rPr>
          <w:rFonts w:ascii="Century Gothic" w:hAnsi="Century Gothic"/>
          <w:bCs/>
          <w:sz w:val="20"/>
          <w:szCs w:val="20"/>
        </w:rPr>
        <w:t>HdJ</w:t>
      </w:r>
      <w:proofErr w:type="spellEnd"/>
      <w:r w:rsidRPr="000666D0">
        <w:rPr>
          <w:rFonts w:ascii="Century Gothic" w:hAnsi="Century Gothic"/>
          <w:bCs/>
          <w:sz w:val="20"/>
          <w:szCs w:val="20"/>
        </w:rPr>
        <w:t xml:space="preserve"> et 15 places d’HAD-R</w:t>
      </w:r>
      <w:r>
        <w:rPr>
          <w:rFonts w:ascii="Century Gothic" w:hAnsi="Century Gothic"/>
          <w:bCs/>
          <w:sz w:val="20"/>
          <w:szCs w:val="20"/>
        </w:rPr>
        <w:t xml:space="preserve"> que le GHU accompagnera des moyens nécessaires à leur fonctionnement.</w:t>
      </w:r>
    </w:p>
    <w:p w14:paraId="40F8BABA" w14:textId="77777777" w:rsidR="00750368" w:rsidRDefault="00750368" w:rsidP="00F251C7">
      <w:pPr>
        <w:spacing w:after="0" w:line="240" w:lineRule="auto"/>
        <w:rPr>
          <w:rFonts w:ascii="Century Gothic" w:eastAsia="Times New Roman" w:hAnsi="Century Gothic" w:cs="Times New Roman"/>
          <w:bCs/>
          <w:szCs w:val="20"/>
          <w:lang w:eastAsia="fr-FR"/>
        </w:rPr>
      </w:pPr>
    </w:p>
    <w:p w14:paraId="21205A9F" w14:textId="77777777" w:rsidR="00F251C7" w:rsidRDefault="00F251C7" w:rsidP="00B257FA">
      <w:pPr>
        <w:pStyle w:val="Titre1"/>
      </w:pPr>
      <w:r w:rsidRPr="00F251C7">
        <w:lastRenderedPageBreak/>
        <w:t>CONTACTS</w:t>
      </w:r>
    </w:p>
    <w:p w14:paraId="6E1692DA" w14:textId="04BB7B5A" w:rsidR="00714462" w:rsidRPr="00750368" w:rsidRDefault="00750368" w:rsidP="00F15B68">
      <w:pPr>
        <w:rPr>
          <w:lang w:eastAsia="fr-FR"/>
        </w:rPr>
      </w:pPr>
      <w:r w:rsidRPr="00750368">
        <w:rPr>
          <w:lang w:eastAsia="fr-FR"/>
        </w:rPr>
        <w:t>Merci d’envoyer votre CV et votre</w:t>
      </w:r>
      <w:r w:rsidR="005E6796">
        <w:rPr>
          <w:lang w:eastAsia="fr-FR"/>
        </w:rPr>
        <w:t xml:space="preserve"> lettre</w:t>
      </w:r>
      <w:r w:rsidRPr="00750368">
        <w:rPr>
          <w:lang w:eastAsia="fr-FR"/>
        </w:rPr>
        <w:t xml:space="preserve"> de motivation à :</w:t>
      </w:r>
    </w:p>
    <w:p w14:paraId="038D8E8B" w14:textId="68A227DC" w:rsidR="00F15B68" w:rsidRDefault="00F15B68" w:rsidP="00F15B68">
      <w:pPr>
        <w:pStyle w:val="Paragraphedeliste"/>
        <w:numPr>
          <w:ilvl w:val="0"/>
          <w:numId w:val="24"/>
        </w:numPr>
        <w:rPr>
          <w:lang w:eastAsia="fr-FR"/>
        </w:rPr>
      </w:pPr>
      <w:r>
        <w:rPr>
          <w:lang w:eastAsia="fr-FR"/>
        </w:rPr>
        <w:t xml:space="preserve">BARAT CLERC Solenne – Directrice Responsable du Pôle Neuro Sainte-Anne - </w:t>
      </w:r>
      <w:hyperlink r:id="rId17" w:history="1">
        <w:r w:rsidRPr="006B25EF">
          <w:rPr>
            <w:rStyle w:val="Lienhypertexte"/>
            <w:lang w:eastAsia="fr-FR"/>
          </w:rPr>
          <w:t>s.barat_clerc@ghu-paris.fr</w:t>
        </w:r>
      </w:hyperlink>
    </w:p>
    <w:p w14:paraId="126EC7F8" w14:textId="13FA474A" w:rsidR="00F15B68" w:rsidRDefault="00F15B68" w:rsidP="00F15B68">
      <w:pPr>
        <w:pStyle w:val="Paragraphedeliste"/>
        <w:numPr>
          <w:ilvl w:val="0"/>
          <w:numId w:val="24"/>
        </w:numPr>
        <w:rPr>
          <w:lang w:eastAsia="fr-FR"/>
        </w:rPr>
      </w:pPr>
      <w:r>
        <w:rPr>
          <w:lang w:eastAsia="fr-FR"/>
        </w:rPr>
        <w:t xml:space="preserve">Professeur SHARSHAR Tarek – Chef du Pôle Neuro Sainte-Anne- </w:t>
      </w:r>
      <w:hyperlink r:id="rId18" w:history="1">
        <w:r w:rsidRPr="006B25EF">
          <w:rPr>
            <w:rStyle w:val="Lienhypertexte"/>
            <w:lang w:eastAsia="fr-FR"/>
          </w:rPr>
          <w:t>t.sharshar@ghu-paris.fr</w:t>
        </w:r>
      </w:hyperlink>
    </w:p>
    <w:p w14:paraId="3EFA436F" w14:textId="52CF9796" w:rsidR="00F15B68" w:rsidRDefault="00F15B68" w:rsidP="00F15B68">
      <w:pPr>
        <w:rPr>
          <w:lang w:eastAsia="fr-FR"/>
        </w:rPr>
      </w:pPr>
      <w:r>
        <w:rPr>
          <w:lang w:eastAsia="fr-FR"/>
        </w:rPr>
        <w:t>Ou Secrétariat</w:t>
      </w:r>
      <w:r>
        <w:rPr>
          <w:lang w:eastAsia="fr-FR"/>
        </w:rPr>
        <w:t xml:space="preserve"> du Pôle NSA</w:t>
      </w:r>
      <w:r>
        <w:rPr>
          <w:lang w:eastAsia="fr-FR"/>
        </w:rPr>
        <w:t> : SAUVAGEON Marie – marie.sauvageon@ghu-paris.fr</w:t>
      </w:r>
    </w:p>
    <w:p w14:paraId="67C755CF" w14:textId="105685F6" w:rsidR="00F251C7" w:rsidRPr="00714462" w:rsidRDefault="00F15B68" w:rsidP="00F15B68">
      <w:pPr>
        <w:pStyle w:val="Paragraphedeliste"/>
        <w:numPr>
          <w:ilvl w:val="0"/>
          <w:numId w:val="23"/>
        </w:numPr>
        <w:rPr>
          <w:lang w:eastAsia="fr-FR"/>
        </w:rPr>
      </w:pPr>
      <w:r>
        <w:rPr>
          <w:lang w:eastAsia="fr-FR"/>
        </w:rPr>
        <w:t xml:space="preserve">BOURGEOIS Marie Alix – Direction de la Politique médicale - </w:t>
      </w:r>
      <w:r w:rsidRPr="00F15B68">
        <w:rPr>
          <w:lang w:eastAsia="fr-FR"/>
        </w:rPr>
        <w:t xml:space="preserve">Responsable des affaires </w:t>
      </w:r>
      <w:r w:rsidR="00902EAD" w:rsidRPr="00F15B68">
        <w:rPr>
          <w:lang w:eastAsia="fr-FR"/>
        </w:rPr>
        <w:t xml:space="preserve">médicales </w:t>
      </w:r>
      <w:r w:rsidR="00902EAD">
        <w:rPr>
          <w:lang w:eastAsia="fr-FR"/>
        </w:rPr>
        <w:t>-</w:t>
      </w:r>
      <w:r>
        <w:rPr>
          <w:lang w:eastAsia="fr-FR"/>
        </w:rPr>
        <w:t xml:space="preserve"> </w:t>
      </w:r>
      <w:hyperlink r:id="rId19" w:history="1">
        <w:r>
          <w:rPr>
            <w:rStyle w:val="Lienhypertexte"/>
            <w:lang w:eastAsia="fr-FR"/>
          </w:rPr>
          <w:t>MA.BOURGEOIS@ghu-paris.fr</w:t>
        </w:r>
      </w:hyperlink>
    </w:p>
    <w:sectPr w:rsidR="00F251C7" w:rsidRPr="00714462" w:rsidSect="00220968">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3C97" w14:textId="77777777" w:rsidR="00A710B7" w:rsidRDefault="00A710B7" w:rsidP="003C0AE0">
      <w:pPr>
        <w:spacing w:after="0" w:line="240" w:lineRule="auto"/>
      </w:pPr>
      <w:r>
        <w:separator/>
      </w:r>
    </w:p>
  </w:endnote>
  <w:endnote w:type="continuationSeparator" w:id="0">
    <w:p w14:paraId="6DA8D269" w14:textId="77777777" w:rsidR="00A710B7" w:rsidRDefault="00A710B7" w:rsidP="003C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AC80" w14:textId="77777777" w:rsidR="00A725C0" w:rsidRDefault="00220968" w:rsidP="00A725C0">
    <w:pPr>
      <w:pStyle w:val="Pieddepage"/>
    </w:pPr>
    <w:r>
      <w:rPr>
        <w:noProof/>
        <w:lang w:eastAsia="fr-FR"/>
      </w:rPr>
      <w:drawing>
        <wp:anchor distT="0" distB="0" distL="114300" distR="114300" simplePos="0" relativeHeight="251664384" behindDoc="0" locked="0" layoutInCell="1" allowOverlap="1" wp14:anchorId="735FD3E0" wp14:editId="3E502F83">
          <wp:simplePos x="0" y="0"/>
          <wp:positionH relativeFrom="margin">
            <wp:align>center</wp:align>
          </wp:positionH>
          <wp:positionV relativeFrom="paragraph">
            <wp:posOffset>51435</wp:posOffset>
          </wp:positionV>
          <wp:extent cx="6405843" cy="105727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1739" t="45698" r="54200" b="37227"/>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7AE3" w:rsidRPr="00300417">
      <w:rPr>
        <w:rFonts w:ascii="Century Gothic" w:hAnsi="Century Gothic"/>
        <w:b/>
        <w:noProof/>
        <w:lang w:eastAsia="fr-FR"/>
      </w:rPr>
      <w:drawing>
        <wp:anchor distT="0" distB="0" distL="114300" distR="114300" simplePos="0" relativeHeight="251662336" behindDoc="0" locked="0" layoutInCell="1" allowOverlap="1" wp14:anchorId="253B873D" wp14:editId="77BFF00C">
          <wp:simplePos x="0" y="0"/>
          <wp:positionH relativeFrom="margin">
            <wp:posOffset>-434340</wp:posOffset>
          </wp:positionH>
          <wp:positionV relativeFrom="paragraph">
            <wp:posOffset>-247650</wp:posOffset>
          </wp:positionV>
          <wp:extent cx="6699584" cy="247650"/>
          <wp:effectExtent l="0" t="0" r="6350" b="0"/>
          <wp:wrapSquare wrapText="bothSides"/>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99584" cy="247650"/>
                  </a:xfrm>
                  <a:prstGeom prst="rect">
                    <a:avLst/>
                  </a:prstGeom>
                </pic:spPr>
              </pic:pic>
            </a:graphicData>
          </a:graphic>
          <wp14:sizeRelH relativeFrom="page">
            <wp14:pctWidth>0</wp14:pctWidth>
          </wp14:sizeRelH>
          <wp14:sizeRelV relativeFrom="page">
            <wp14:pctHeight>0</wp14:pctHeight>
          </wp14:sizeRelV>
        </wp:anchor>
      </w:drawing>
    </w:r>
  </w:p>
  <w:p w14:paraId="680275F3" w14:textId="77777777" w:rsidR="00A725C0" w:rsidRDefault="00B67AE3">
    <w:pPr>
      <w:pStyle w:val="Pieddepage"/>
    </w:pPr>
    <w:r>
      <w:rPr>
        <w:noProof/>
        <w:lang w:eastAsia="fr-FR"/>
      </w:rPr>
      <mc:AlternateContent>
        <mc:Choice Requires="wps">
          <w:drawing>
            <wp:anchor distT="45720" distB="45720" distL="114300" distR="114300" simplePos="0" relativeHeight="251660288" behindDoc="0" locked="0" layoutInCell="1" allowOverlap="1" wp14:anchorId="1968E1BD" wp14:editId="67A8E05B">
              <wp:simplePos x="0" y="0"/>
              <wp:positionH relativeFrom="column">
                <wp:posOffset>2979420</wp:posOffset>
              </wp:positionH>
              <wp:positionV relativeFrom="paragraph">
                <wp:posOffset>13335</wp:posOffset>
              </wp:positionV>
              <wp:extent cx="236093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solidFill>
                        <a:srgbClr val="FFFFFF"/>
                      </a:solidFill>
                      <a:ln w="9525">
                        <a:noFill/>
                        <a:miter lim="800000"/>
                        <a:headEnd/>
                        <a:tailEnd/>
                      </a:ln>
                    </wps:spPr>
                    <wps:txbx>
                      <w:txbxContent>
                        <w:p w14:paraId="3507925D"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14:paraId="7E86CD2D"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14:paraId="147A3DEC" w14:textId="77777777" w:rsidR="00A725C0" w:rsidRDefault="00A710B7" w:rsidP="00B67AE3">
                          <w:pPr>
                            <w:spacing w:after="0" w:line="240" w:lineRule="auto"/>
                            <w:rPr>
                              <w:rFonts w:ascii="Century Gothic" w:hAnsi="Century Gothic"/>
                              <w:color w:val="A6A6A6" w:themeColor="background1" w:themeShade="A6"/>
                              <w:sz w:val="16"/>
                            </w:rPr>
                          </w:pPr>
                          <w:hyperlink r:id="rId3" w:history="1">
                            <w:r w:rsidR="00B67AE3" w:rsidRPr="00510C41">
                              <w:rPr>
                                <w:rStyle w:val="Lienhypertexte"/>
                                <w:rFonts w:ascii="Century Gothic" w:hAnsi="Century Gothic"/>
                                <w:sz w:val="16"/>
                              </w:rPr>
                              <w:t>www.ghu-paris.fr</w:t>
                            </w:r>
                          </w:hyperlink>
                          <w:r w:rsidR="00B67AE3">
                            <w:rPr>
                              <w:rFonts w:ascii="Century Gothic" w:hAnsi="Century Gothic"/>
                              <w:color w:val="A6A6A6" w:themeColor="background1" w:themeShade="A6"/>
                              <w:sz w:val="16"/>
                            </w:rPr>
                            <w:t xml:space="preserve"> </w:t>
                          </w:r>
                          <w:r w:rsidR="00A725C0">
                            <w:rPr>
                              <w:rFonts w:ascii="Century Gothic" w:hAnsi="Century Gothic"/>
                              <w:color w:val="A6A6A6" w:themeColor="background1" w:themeShade="A6"/>
                              <w:sz w:val="16"/>
                            </w:rPr>
                            <w:br/>
                            <w:t xml:space="preserve"> </w:t>
                          </w:r>
                        </w:p>
                        <w:p w14:paraId="30A642E7" w14:textId="77777777" w:rsidR="00A725C0" w:rsidRDefault="00A725C0" w:rsidP="00A725C0">
                          <w:pPr>
                            <w:rPr>
                              <w:rFonts w:ascii="Century Gothic" w:hAnsi="Century Gothic"/>
                              <w:color w:val="A6A6A6" w:themeColor="background1" w:themeShade="A6"/>
                              <w:sz w:val="16"/>
                            </w:rPr>
                          </w:pPr>
                        </w:p>
                        <w:p w14:paraId="75616C49" w14:textId="77777777" w:rsidR="00A725C0"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14:paraId="35841A97" w14:textId="77777777" w:rsidR="00A725C0" w:rsidRPr="00A72492"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968E1BD" id="_x0000_t202" coordsize="21600,21600" o:spt="202" path="m,l,21600r21600,l21600,xe">
              <v:stroke joinstyle="miter"/>
              <v:path gradientshapeok="t" o:connecttype="rect"/>
            </v:shapetype>
            <v:shape id="Zone de texte 2" o:spid="_x0000_s1026" type="#_x0000_t202" style="position:absolute;margin-left:234.6pt;margin-top:1.05pt;width:185.9pt;height:58.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o7JQIAACIEAAAOAAAAZHJzL2Uyb0RvYy54bWysU02P2yAQvVfqf0DcGzvOZr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" stroked="f">
              <v:textbox>
                <w:txbxContent>
                  <w:p w14:paraId="3507925D"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14:paraId="7E86CD2D"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14:paraId="147A3DEC" w14:textId="77777777" w:rsidR="00A725C0" w:rsidRDefault="00A710B7" w:rsidP="00B67AE3">
                    <w:pPr>
                      <w:spacing w:after="0" w:line="240" w:lineRule="auto"/>
                      <w:rPr>
                        <w:rFonts w:ascii="Century Gothic" w:hAnsi="Century Gothic"/>
                        <w:color w:val="A6A6A6" w:themeColor="background1" w:themeShade="A6"/>
                        <w:sz w:val="16"/>
                      </w:rPr>
                    </w:pPr>
                    <w:hyperlink r:id="rId4" w:history="1">
                      <w:r w:rsidR="00B67AE3" w:rsidRPr="00510C41">
                        <w:rPr>
                          <w:rStyle w:val="Lienhypertexte"/>
                          <w:rFonts w:ascii="Century Gothic" w:hAnsi="Century Gothic"/>
                          <w:sz w:val="16"/>
                        </w:rPr>
                        <w:t>www.ghu-paris.fr</w:t>
                      </w:r>
                    </w:hyperlink>
                    <w:r w:rsidR="00B67AE3">
                      <w:rPr>
                        <w:rFonts w:ascii="Century Gothic" w:hAnsi="Century Gothic"/>
                        <w:color w:val="A6A6A6" w:themeColor="background1" w:themeShade="A6"/>
                        <w:sz w:val="16"/>
                      </w:rPr>
                      <w:t xml:space="preserve"> </w:t>
                    </w:r>
                    <w:r w:rsidR="00A725C0">
                      <w:rPr>
                        <w:rFonts w:ascii="Century Gothic" w:hAnsi="Century Gothic"/>
                        <w:color w:val="A6A6A6" w:themeColor="background1" w:themeShade="A6"/>
                        <w:sz w:val="16"/>
                      </w:rPr>
                      <w:br/>
                      <w:t xml:space="preserve"> </w:t>
                    </w:r>
                  </w:p>
                  <w:p w14:paraId="30A642E7" w14:textId="77777777" w:rsidR="00A725C0" w:rsidRDefault="00A725C0" w:rsidP="00A725C0">
                    <w:pPr>
                      <w:rPr>
                        <w:rFonts w:ascii="Century Gothic" w:hAnsi="Century Gothic"/>
                        <w:color w:val="A6A6A6" w:themeColor="background1" w:themeShade="A6"/>
                        <w:sz w:val="16"/>
                      </w:rPr>
                    </w:pPr>
                  </w:p>
                  <w:p w14:paraId="75616C49" w14:textId="77777777" w:rsidR="00A725C0"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14:paraId="35841A97" w14:textId="77777777" w:rsidR="00A725C0" w:rsidRPr="00A72492"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v:textbox>
              <w10:wrap type="square"/>
            </v:shape>
          </w:pict>
        </mc:Fallback>
      </mc:AlternateContent>
    </w:r>
    <w:r>
      <w:rPr>
        <w:rFonts w:ascii="Century Gothic" w:hAnsi="Century Gothic"/>
        <w:caps/>
        <w:noProof/>
        <w:color w:val="404040" w:themeColor="text1" w:themeTint="BF"/>
        <w:sz w:val="32"/>
        <w:lang w:eastAsia="fr-FR"/>
      </w:rPr>
      <w:drawing>
        <wp:anchor distT="0" distB="0" distL="114300" distR="114300" simplePos="0" relativeHeight="251659264" behindDoc="1" locked="0" layoutInCell="1" allowOverlap="1" wp14:anchorId="54B3F4F3" wp14:editId="16C8EBB7">
          <wp:simplePos x="0" y="0"/>
          <wp:positionH relativeFrom="column">
            <wp:posOffset>1566545</wp:posOffset>
          </wp:positionH>
          <wp:positionV relativeFrom="paragraph">
            <wp:posOffset>36830</wp:posOffset>
          </wp:positionV>
          <wp:extent cx="1335405" cy="380365"/>
          <wp:effectExtent l="0" t="0" r="0" b="635"/>
          <wp:wrapTight wrapText="bothSides">
            <wp:wrapPolygon edited="0">
              <wp:start x="2773" y="0"/>
              <wp:lineTo x="1233" y="2164"/>
              <wp:lineTo x="0" y="9736"/>
              <wp:lineTo x="0" y="20554"/>
              <wp:lineTo x="3081" y="20554"/>
              <wp:lineTo x="21261" y="20554"/>
              <wp:lineTo x="21261" y="0"/>
              <wp:lineTo x="2773"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gh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405" cy="380365"/>
                  </a:xfrm>
                  <a:prstGeom prst="rect">
                    <a:avLst/>
                  </a:prstGeom>
                </pic:spPr>
              </pic:pic>
            </a:graphicData>
          </a:graphic>
          <wp14:sizeRelH relativeFrom="page">
            <wp14:pctWidth>0</wp14:pctWidth>
          </wp14:sizeRelH>
          <wp14:sizeRelV relativeFrom="page">
            <wp14:pctHeight>0</wp14:pctHeight>
          </wp14:sizeRelV>
        </wp:anchor>
      </w:drawing>
    </w:r>
  </w:p>
  <w:p w14:paraId="4173E81C" w14:textId="77777777" w:rsidR="00A725C0" w:rsidRDefault="00A725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AFA7" w14:textId="77777777" w:rsidR="00A710B7" w:rsidRDefault="00A710B7" w:rsidP="003C0AE0">
      <w:pPr>
        <w:spacing w:after="0" w:line="240" w:lineRule="auto"/>
      </w:pPr>
      <w:r>
        <w:separator/>
      </w:r>
    </w:p>
  </w:footnote>
  <w:footnote w:type="continuationSeparator" w:id="0">
    <w:p w14:paraId="43666F60" w14:textId="77777777" w:rsidR="00A710B7" w:rsidRDefault="00A710B7" w:rsidP="003C0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56FFF"/>
    <w:multiLevelType w:val="hybridMultilevel"/>
    <w:tmpl w:val="7280176E"/>
    <w:lvl w:ilvl="0" w:tplc="88B2C03C">
      <w:start w:val="19"/>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07507"/>
    <w:multiLevelType w:val="hybridMultilevel"/>
    <w:tmpl w:val="B134C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FF4B7A"/>
    <w:multiLevelType w:val="hybridMultilevel"/>
    <w:tmpl w:val="B510DA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95253"/>
    <w:multiLevelType w:val="hybridMultilevel"/>
    <w:tmpl w:val="25628434"/>
    <w:lvl w:ilvl="0" w:tplc="3EE2BF1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387B"/>
    <w:multiLevelType w:val="hybridMultilevel"/>
    <w:tmpl w:val="80F46E8A"/>
    <w:lvl w:ilvl="0" w:tplc="F9CA82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DB12A0"/>
    <w:multiLevelType w:val="hybridMultilevel"/>
    <w:tmpl w:val="C28647E2"/>
    <w:lvl w:ilvl="0" w:tplc="4CB8A314">
      <w:start w:val="2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74393"/>
    <w:multiLevelType w:val="hybridMultilevel"/>
    <w:tmpl w:val="AC72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0D67A9"/>
    <w:multiLevelType w:val="hybridMultilevel"/>
    <w:tmpl w:val="154448BA"/>
    <w:lvl w:ilvl="0" w:tplc="040C0003">
      <w:start w:val="1"/>
      <w:numFmt w:val="bullet"/>
      <w:lvlText w:val="o"/>
      <w:lvlJc w:val="left"/>
      <w:pPr>
        <w:ind w:left="360" w:hanging="360"/>
      </w:pPr>
      <w:rPr>
        <w:rFonts w:ascii="Courier New" w:hAnsi="Courier New" w:cs="Courier New" w:hint="default"/>
      </w:rPr>
    </w:lvl>
    <w:lvl w:ilvl="1" w:tplc="3EE2BF1C">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B7F1593"/>
    <w:multiLevelType w:val="hybridMultilevel"/>
    <w:tmpl w:val="AFE8E1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B52A81"/>
    <w:multiLevelType w:val="hybridMultilevel"/>
    <w:tmpl w:val="B4FC9B4A"/>
    <w:lvl w:ilvl="0" w:tplc="3EE2BF1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38230B"/>
    <w:multiLevelType w:val="hybridMultilevel"/>
    <w:tmpl w:val="5EE4B10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EAD0131"/>
    <w:multiLevelType w:val="hybridMultilevel"/>
    <w:tmpl w:val="C478B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810479"/>
    <w:multiLevelType w:val="hybridMultilevel"/>
    <w:tmpl w:val="FC980EFE"/>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9" w15:restartNumberingAfterBreak="0">
    <w:nsid w:val="56AD753B"/>
    <w:multiLevelType w:val="hybridMultilevel"/>
    <w:tmpl w:val="2F54FA72"/>
    <w:lvl w:ilvl="0" w:tplc="A120F842">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82B46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C92327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263F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4ECFD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76F3B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58921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E0D11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A0346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B0014"/>
    <w:multiLevelType w:val="hybridMultilevel"/>
    <w:tmpl w:val="60E6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B5BE1"/>
    <w:multiLevelType w:val="hybridMultilevel"/>
    <w:tmpl w:val="C1C05952"/>
    <w:lvl w:ilvl="0" w:tplc="766817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0"/>
  </w:num>
  <w:num w:numId="4">
    <w:abstractNumId w:val="1"/>
  </w:num>
  <w:num w:numId="5">
    <w:abstractNumId w:val="0"/>
  </w:num>
  <w:num w:numId="6">
    <w:abstractNumId w:val="5"/>
  </w:num>
  <w:num w:numId="7">
    <w:abstractNumId w:val="10"/>
  </w:num>
  <w:num w:numId="8">
    <w:abstractNumId w:val="7"/>
  </w:num>
  <w:num w:numId="9">
    <w:abstractNumId w:val="17"/>
  </w:num>
  <w:num w:numId="10">
    <w:abstractNumId w:val="12"/>
  </w:num>
  <w:num w:numId="11">
    <w:abstractNumId w:val="3"/>
  </w:num>
  <w:num w:numId="12">
    <w:abstractNumId w:val="21"/>
  </w:num>
  <w:num w:numId="13">
    <w:abstractNumId w:val="18"/>
  </w:num>
  <w:num w:numId="14">
    <w:abstractNumId w:val="9"/>
  </w:num>
  <w:num w:numId="15">
    <w:abstractNumId w:val="16"/>
  </w:num>
  <w:num w:numId="16">
    <w:abstractNumId w:val="13"/>
  </w:num>
  <w:num w:numId="17">
    <w:abstractNumId w:val="19"/>
  </w:num>
  <w:num w:numId="18">
    <w:abstractNumId w:val="23"/>
  </w:num>
  <w:num w:numId="19">
    <w:abstractNumId w:val="15"/>
  </w:num>
  <w:num w:numId="20">
    <w:abstractNumId w:val="6"/>
  </w:num>
  <w:num w:numId="21">
    <w:abstractNumId w:val="2"/>
  </w:num>
  <w:num w:numId="22">
    <w:abstractNumId w:val="8"/>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74"/>
    <w:rsid w:val="0002002A"/>
    <w:rsid w:val="000458D5"/>
    <w:rsid w:val="00050DCC"/>
    <w:rsid w:val="00053A40"/>
    <w:rsid w:val="00065995"/>
    <w:rsid w:val="000B2B2E"/>
    <w:rsid w:val="000B3D78"/>
    <w:rsid w:val="000C5115"/>
    <w:rsid w:val="000C7A6A"/>
    <w:rsid w:val="000D68AD"/>
    <w:rsid w:val="000E16CF"/>
    <w:rsid w:val="00121C63"/>
    <w:rsid w:val="0014347B"/>
    <w:rsid w:val="0016788D"/>
    <w:rsid w:val="001715E7"/>
    <w:rsid w:val="001E1D93"/>
    <w:rsid w:val="001E231E"/>
    <w:rsid w:val="001F2908"/>
    <w:rsid w:val="00217B8D"/>
    <w:rsid w:val="00220968"/>
    <w:rsid w:val="002507CB"/>
    <w:rsid w:val="00252904"/>
    <w:rsid w:val="0027226A"/>
    <w:rsid w:val="002B6244"/>
    <w:rsid w:val="002B6E74"/>
    <w:rsid w:val="002B73D1"/>
    <w:rsid w:val="002D775D"/>
    <w:rsid w:val="002F76B6"/>
    <w:rsid w:val="002F787A"/>
    <w:rsid w:val="00300417"/>
    <w:rsid w:val="00331DA2"/>
    <w:rsid w:val="00342D1A"/>
    <w:rsid w:val="00382C1C"/>
    <w:rsid w:val="00390DBD"/>
    <w:rsid w:val="003B0798"/>
    <w:rsid w:val="003C0AE0"/>
    <w:rsid w:val="003C112A"/>
    <w:rsid w:val="003D422E"/>
    <w:rsid w:val="00401C3C"/>
    <w:rsid w:val="00420080"/>
    <w:rsid w:val="004268F3"/>
    <w:rsid w:val="00460030"/>
    <w:rsid w:val="00481821"/>
    <w:rsid w:val="004C5CE7"/>
    <w:rsid w:val="00526F39"/>
    <w:rsid w:val="00550205"/>
    <w:rsid w:val="00552CE4"/>
    <w:rsid w:val="0056419A"/>
    <w:rsid w:val="00570EEA"/>
    <w:rsid w:val="005A1C08"/>
    <w:rsid w:val="005A28B9"/>
    <w:rsid w:val="005A4C41"/>
    <w:rsid w:val="005A512B"/>
    <w:rsid w:val="005B10AB"/>
    <w:rsid w:val="005D2CB9"/>
    <w:rsid w:val="005E6796"/>
    <w:rsid w:val="00630C63"/>
    <w:rsid w:val="006318FB"/>
    <w:rsid w:val="006364A7"/>
    <w:rsid w:val="00647074"/>
    <w:rsid w:val="00654BC2"/>
    <w:rsid w:val="006B3AC2"/>
    <w:rsid w:val="00714462"/>
    <w:rsid w:val="00720985"/>
    <w:rsid w:val="00750368"/>
    <w:rsid w:val="007529A7"/>
    <w:rsid w:val="00772312"/>
    <w:rsid w:val="007A0568"/>
    <w:rsid w:val="007A2D95"/>
    <w:rsid w:val="007A7281"/>
    <w:rsid w:val="008248E2"/>
    <w:rsid w:val="00850284"/>
    <w:rsid w:val="0087573C"/>
    <w:rsid w:val="008818D7"/>
    <w:rsid w:val="008B4EE7"/>
    <w:rsid w:val="008D5A0E"/>
    <w:rsid w:val="008E00CF"/>
    <w:rsid w:val="00902EAD"/>
    <w:rsid w:val="00924BDB"/>
    <w:rsid w:val="009308C9"/>
    <w:rsid w:val="009A2D49"/>
    <w:rsid w:val="009D04D7"/>
    <w:rsid w:val="009E47E9"/>
    <w:rsid w:val="009E6C85"/>
    <w:rsid w:val="009F739F"/>
    <w:rsid w:val="00A710B7"/>
    <w:rsid w:val="00A725C0"/>
    <w:rsid w:val="00A730EF"/>
    <w:rsid w:val="00AB106A"/>
    <w:rsid w:val="00AB55B7"/>
    <w:rsid w:val="00AC2FDF"/>
    <w:rsid w:val="00AF392E"/>
    <w:rsid w:val="00AF67DD"/>
    <w:rsid w:val="00B03E3B"/>
    <w:rsid w:val="00B1182B"/>
    <w:rsid w:val="00B1261F"/>
    <w:rsid w:val="00B12DA4"/>
    <w:rsid w:val="00B257FA"/>
    <w:rsid w:val="00B5696F"/>
    <w:rsid w:val="00B659B8"/>
    <w:rsid w:val="00B67AE3"/>
    <w:rsid w:val="00B82553"/>
    <w:rsid w:val="00B849F8"/>
    <w:rsid w:val="00B90E54"/>
    <w:rsid w:val="00BC5368"/>
    <w:rsid w:val="00BE3BE0"/>
    <w:rsid w:val="00BE6492"/>
    <w:rsid w:val="00BF15B4"/>
    <w:rsid w:val="00C240D4"/>
    <w:rsid w:val="00C31557"/>
    <w:rsid w:val="00C35399"/>
    <w:rsid w:val="00C476CB"/>
    <w:rsid w:val="00C53831"/>
    <w:rsid w:val="00C61DEC"/>
    <w:rsid w:val="00C846EC"/>
    <w:rsid w:val="00CA0DF2"/>
    <w:rsid w:val="00CB13B3"/>
    <w:rsid w:val="00CE0A6D"/>
    <w:rsid w:val="00CF2522"/>
    <w:rsid w:val="00D533E4"/>
    <w:rsid w:val="00D750D8"/>
    <w:rsid w:val="00E42988"/>
    <w:rsid w:val="00E46FB7"/>
    <w:rsid w:val="00E54958"/>
    <w:rsid w:val="00E926AE"/>
    <w:rsid w:val="00E96706"/>
    <w:rsid w:val="00EB1B4C"/>
    <w:rsid w:val="00ED329F"/>
    <w:rsid w:val="00EF4E45"/>
    <w:rsid w:val="00F15B68"/>
    <w:rsid w:val="00F251C7"/>
    <w:rsid w:val="00F31CA9"/>
    <w:rsid w:val="00F31E69"/>
    <w:rsid w:val="00F42807"/>
    <w:rsid w:val="00F62237"/>
    <w:rsid w:val="00F679BA"/>
    <w:rsid w:val="00F77874"/>
    <w:rsid w:val="00FF0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BF9A4"/>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unhideWhenUsed/>
    <w:qFormat/>
    <w:rsid w:val="00F251C7"/>
    <w:pPr>
      <w:keepNext/>
      <w:keepLines/>
      <w:spacing w:after="22" w:line="267" w:lineRule="auto"/>
      <w:ind w:left="10" w:hanging="10"/>
      <w:outlineLvl w:val="0"/>
    </w:pPr>
    <w:rPr>
      <w:rFonts w:ascii="Century Gothic" w:eastAsia="Century Gothic" w:hAnsi="Century Gothic" w:cs="Century Gothic"/>
      <w:b/>
      <w:color w:val="008080"/>
      <w:sz w:val="24"/>
      <w:lang w:eastAsia="fr-FR"/>
    </w:rPr>
  </w:style>
  <w:style w:type="paragraph" w:styleId="Titre2">
    <w:name w:val="heading 2"/>
    <w:basedOn w:val="Normal"/>
    <w:next w:val="Normal"/>
    <w:link w:val="Titre2Car"/>
    <w:uiPriority w:val="9"/>
    <w:unhideWhenUsed/>
    <w:qFormat/>
    <w:rsid w:val="00B25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78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248E2"/>
    <w:pPr>
      <w:ind w:left="720"/>
      <w:contextualSpacing/>
    </w:pPr>
  </w:style>
  <w:style w:type="character" w:styleId="Lienhypertexte">
    <w:name w:val="Hyperlink"/>
    <w:basedOn w:val="Policepardfaut"/>
    <w:uiPriority w:val="99"/>
    <w:unhideWhenUsed/>
    <w:rsid w:val="00C846EC"/>
    <w:rPr>
      <w:color w:val="0000FF"/>
      <w:u w:val="single"/>
    </w:rPr>
  </w:style>
  <w:style w:type="table" w:styleId="Grilledutableau">
    <w:name w:val="Table Grid"/>
    <w:basedOn w:val="TableauNormal"/>
    <w:uiPriority w:val="39"/>
    <w:rsid w:val="00C8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C846EC"/>
  </w:style>
  <w:style w:type="paragraph" w:styleId="Textedebulles">
    <w:name w:val="Balloon Text"/>
    <w:basedOn w:val="Normal"/>
    <w:link w:val="TextedebullesCar"/>
    <w:uiPriority w:val="99"/>
    <w:semiHidden/>
    <w:unhideWhenUsed/>
    <w:rsid w:val="00C846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6EC"/>
    <w:rPr>
      <w:rFonts w:ascii="Tahoma" w:hAnsi="Tahoma" w:cs="Tahoma"/>
      <w:sz w:val="16"/>
      <w:szCs w:val="16"/>
    </w:rPr>
  </w:style>
  <w:style w:type="character" w:styleId="Lienhypertextesuivivisit">
    <w:name w:val="FollowedHyperlink"/>
    <w:basedOn w:val="Policepardfaut"/>
    <w:uiPriority w:val="99"/>
    <w:semiHidden/>
    <w:unhideWhenUsed/>
    <w:rsid w:val="00AB106A"/>
    <w:rPr>
      <w:color w:val="954F72" w:themeColor="followedHyperlink"/>
      <w:u w:val="single"/>
    </w:rPr>
  </w:style>
  <w:style w:type="paragraph" w:styleId="En-tte">
    <w:name w:val="header"/>
    <w:basedOn w:val="Normal"/>
    <w:link w:val="En-tteCar"/>
    <w:uiPriority w:val="99"/>
    <w:unhideWhenUsed/>
    <w:rsid w:val="003C0AE0"/>
    <w:pPr>
      <w:tabs>
        <w:tab w:val="center" w:pos="4536"/>
        <w:tab w:val="right" w:pos="9072"/>
      </w:tabs>
      <w:spacing w:after="0" w:line="240" w:lineRule="auto"/>
    </w:pPr>
  </w:style>
  <w:style w:type="character" w:customStyle="1" w:styleId="En-tteCar">
    <w:name w:val="En-tête Car"/>
    <w:basedOn w:val="Policepardfaut"/>
    <w:link w:val="En-tte"/>
    <w:uiPriority w:val="99"/>
    <w:rsid w:val="003C0AE0"/>
  </w:style>
  <w:style w:type="paragraph" w:styleId="Pieddepage">
    <w:name w:val="footer"/>
    <w:basedOn w:val="Normal"/>
    <w:link w:val="PieddepageCar"/>
    <w:uiPriority w:val="99"/>
    <w:unhideWhenUsed/>
    <w:rsid w:val="003C0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AE0"/>
  </w:style>
  <w:style w:type="character" w:customStyle="1" w:styleId="Titre1Car">
    <w:name w:val="Titre 1 Car"/>
    <w:basedOn w:val="Policepardfaut"/>
    <w:link w:val="Titre1"/>
    <w:uiPriority w:val="9"/>
    <w:rsid w:val="00F251C7"/>
    <w:rPr>
      <w:rFonts w:ascii="Century Gothic" w:eastAsia="Century Gothic" w:hAnsi="Century Gothic" w:cs="Century Gothic"/>
      <w:b/>
      <w:color w:val="008080"/>
      <w:sz w:val="24"/>
      <w:lang w:eastAsia="fr-FR"/>
    </w:rPr>
  </w:style>
  <w:style w:type="paragraph" w:customStyle="1" w:styleId="Default">
    <w:name w:val="Default"/>
    <w:rsid w:val="00B849F8"/>
    <w:pPr>
      <w:autoSpaceDE w:val="0"/>
      <w:autoSpaceDN w:val="0"/>
      <w:adjustRightInd w:val="0"/>
      <w:spacing w:after="0" w:line="240" w:lineRule="auto"/>
    </w:pPr>
    <w:rPr>
      <w:rFonts w:ascii="Calibri" w:hAnsi="Calibri" w:cs="Calibri"/>
      <w:color w:val="000000"/>
      <w:sz w:val="24"/>
      <w:szCs w:val="24"/>
    </w:rPr>
  </w:style>
  <w:style w:type="character" w:customStyle="1" w:styleId="Mentionnonrsolue1">
    <w:name w:val="Mention non résolue1"/>
    <w:basedOn w:val="Policepardfaut"/>
    <w:uiPriority w:val="99"/>
    <w:semiHidden/>
    <w:unhideWhenUsed/>
    <w:rsid w:val="00B849F8"/>
    <w:rPr>
      <w:color w:val="605E5C"/>
      <w:shd w:val="clear" w:color="auto" w:fill="E1DFDD"/>
    </w:rPr>
  </w:style>
  <w:style w:type="character" w:customStyle="1" w:styleId="Titre2Car">
    <w:name w:val="Titre 2 Car"/>
    <w:basedOn w:val="Policepardfaut"/>
    <w:link w:val="Titre2"/>
    <w:uiPriority w:val="9"/>
    <w:rsid w:val="00B257FA"/>
    <w:rPr>
      <w:rFonts w:asciiTheme="majorHAnsi" w:eastAsiaTheme="majorEastAsia" w:hAnsiTheme="majorHAnsi" w:cstheme="majorBidi"/>
      <w:color w:val="2E74B5" w:themeColor="accent1" w:themeShade="BF"/>
      <w:sz w:val="26"/>
      <w:szCs w:val="26"/>
    </w:rPr>
  </w:style>
  <w:style w:type="character" w:styleId="Mentionnonrsolue">
    <w:name w:val="Unresolved Mention"/>
    <w:basedOn w:val="Policepardfaut"/>
    <w:uiPriority w:val="99"/>
    <w:semiHidden/>
    <w:unhideWhenUsed/>
    <w:rsid w:val="00F15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12022">
      <w:bodyDiv w:val="1"/>
      <w:marLeft w:val="0"/>
      <w:marRight w:val="0"/>
      <w:marTop w:val="0"/>
      <w:marBottom w:val="0"/>
      <w:divBdr>
        <w:top w:val="none" w:sz="0" w:space="0" w:color="auto"/>
        <w:left w:val="none" w:sz="0" w:space="0" w:color="auto"/>
        <w:bottom w:val="none" w:sz="0" w:space="0" w:color="auto"/>
        <w:right w:val="none" w:sz="0" w:space="0" w:color="auto"/>
      </w:divBdr>
    </w:div>
    <w:div w:id="1340960943">
      <w:bodyDiv w:val="1"/>
      <w:marLeft w:val="0"/>
      <w:marRight w:val="0"/>
      <w:marTop w:val="0"/>
      <w:marBottom w:val="0"/>
      <w:divBdr>
        <w:top w:val="none" w:sz="0" w:space="0" w:color="auto"/>
        <w:left w:val="none" w:sz="0" w:space="0" w:color="auto"/>
        <w:bottom w:val="none" w:sz="0" w:space="0" w:color="auto"/>
        <w:right w:val="none" w:sz="0" w:space="0" w:color="auto"/>
      </w:divBdr>
    </w:div>
    <w:div w:id="15931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meo.com/307689792" TargetMode="External"/><Relationship Id="rId18" Type="http://schemas.openxmlformats.org/officeDocument/2006/relationships/hyperlink" Target="mailto:t.sharshar@ghu-paris.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hu-paris.fr/fr/2019-ght-devient-ghu-paris/" TargetMode="External"/><Relationship Id="rId17" Type="http://schemas.openxmlformats.org/officeDocument/2006/relationships/hyperlink" Target="mailto:s.barat_clerc@ghu-paris.fr" TargetMode="External"/><Relationship Id="rId2" Type="http://schemas.openxmlformats.org/officeDocument/2006/relationships/numbering" Target="numbering.xml"/><Relationship Id="rId16" Type="http://schemas.openxmlformats.org/officeDocument/2006/relationships/hyperlink" Target="https://www.ghu-paris.fr/fr/actualites/etre-medecin-au-ghu-paris-vide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BOURGEOIS@ghu-paris.fr" TargetMode="External"/><Relationship Id="rId5" Type="http://schemas.openxmlformats.org/officeDocument/2006/relationships/webSettings" Target="webSettings.xml"/><Relationship Id="rId15" Type="http://schemas.openxmlformats.org/officeDocument/2006/relationships/hyperlink" Target="https://www.linkedin.com/company/ghu-paris/" TargetMode="External"/><Relationship Id="rId10" Type="http://schemas.openxmlformats.org/officeDocument/2006/relationships/hyperlink" Target="mailto:t.sharshar@ghu-paris.fr" TargetMode="External"/><Relationship Id="rId19" Type="http://schemas.openxmlformats.org/officeDocument/2006/relationships/hyperlink" Target="mailto:MA.BOURGEOIS@ghu-paris.fr" TargetMode="External"/><Relationship Id="rId4" Type="http://schemas.openxmlformats.org/officeDocument/2006/relationships/settings" Target="settings.xml"/><Relationship Id="rId9" Type="http://schemas.openxmlformats.org/officeDocument/2006/relationships/hyperlink" Target="mailto:s.barat_clerc@ghu-paris.fr" TargetMode="External"/><Relationship Id="rId14" Type="http://schemas.openxmlformats.org/officeDocument/2006/relationships/hyperlink" Target="http://www.ghu-paris.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hu-paris.fr"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hu-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4C4B9-1C2C-4EDC-98C0-9344B618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1959</Words>
  <Characters>10777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 Sophie</dc:creator>
  <cp:lastModifiedBy>REY Mathilde</cp:lastModifiedBy>
  <cp:revision>6</cp:revision>
  <cp:lastPrinted>2023-02-08T15:31:00Z</cp:lastPrinted>
  <dcterms:created xsi:type="dcterms:W3CDTF">2024-11-13T12:17:00Z</dcterms:created>
  <dcterms:modified xsi:type="dcterms:W3CDTF">2024-11-13T13:18:00Z</dcterms:modified>
</cp:coreProperties>
</file>