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C6D1" w14:textId="6194C3B4" w:rsidR="000B2B2E" w:rsidRDefault="000B2B2E" w:rsidP="00826B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06E05CE" wp14:editId="07E178F8">
            <wp:simplePos x="0" y="0"/>
            <wp:positionH relativeFrom="margin">
              <wp:posOffset>4129405</wp:posOffset>
            </wp:positionH>
            <wp:positionV relativeFrom="paragraph">
              <wp:posOffset>0</wp:posOffset>
            </wp:positionV>
            <wp:extent cx="1914525" cy="525145"/>
            <wp:effectExtent l="0" t="0" r="952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hu-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9FAAB" w14:textId="77777777"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5525B8C" w14:textId="77777777"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38ED325" w14:textId="77777777" w:rsidR="00720985" w:rsidRDefault="00720985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946D848" w14:textId="77777777" w:rsidR="00552CE4" w:rsidRPr="00300417" w:rsidRDefault="00290420" w:rsidP="00BF15B4">
      <w:pPr>
        <w:spacing w:after="0" w:line="240" w:lineRule="auto"/>
        <w:jc w:val="center"/>
        <w:rPr>
          <w:rFonts w:ascii="Century Gothic" w:hAnsi="Century Gothic"/>
          <w:b/>
          <w:color w:val="008080"/>
        </w:rPr>
      </w:pPr>
      <w:r>
        <w:rPr>
          <w:rFonts w:ascii="Century Gothic" w:hAnsi="Century Gothic"/>
          <w:b/>
          <w:color w:val="008080"/>
        </w:rPr>
        <w:t>Poste médecin psychiatre Pôle G26</w:t>
      </w:r>
    </w:p>
    <w:p w14:paraId="4DE41194" w14:textId="77777777" w:rsidR="000B2B2E" w:rsidRP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Borders>
          <w:top w:val="single" w:sz="4" w:space="0" w:color="00B1AA"/>
          <w:left w:val="none" w:sz="0" w:space="0" w:color="auto"/>
          <w:bottom w:val="single" w:sz="4" w:space="0" w:color="00B1AA"/>
          <w:right w:val="none" w:sz="0" w:space="0" w:color="auto"/>
          <w:insideH w:val="single" w:sz="4" w:space="0" w:color="00B1AA"/>
          <w:insideV w:val="single" w:sz="4" w:space="0" w:color="00B1AA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846EC" w:rsidRPr="000B2B2E" w14:paraId="4E3E7365" w14:textId="77777777" w:rsidTr="00B67AE3">
        <w:tc>
          <w:tcPr>
            <w:tcW w:w="3256" w:type="dxa"/>
          </w:tcPr>
          <w:p w14:paraId="41834949" w14:textId="77777777" w:rsidR="00C846EC" w:rsidRPr="000B2B2E" w:rsidRDefault="00C846EC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Temps de travail</w:t>
            </w:r>
          </w:p>
        </w:tc>
        <w:tc>
          <w:tcPr>
            <w:tcW w:w="5806" w:type="dxa"/>
          </w:tcPr>
          <w:p w14:paraId="649F4C49" w14:textId="77777777" w:rsidR="00C846EC" w:rsidRPr="000B2B2E" w:rsidRDefault="000A7658" w:rsidP="008D63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Temps plein</w:t>
            </w:r>
          </w:p>
        </w:tc>
      </w:tr>
      <w:tr w:rsidR="00C846EC" w:rsidRPr="000B2B2E" w14:paraId="090F9EAF" w14:textId="77777777" w:rsidTr="00B67AE3">
        <w:tc>
          <w:tcPr>
            <w:tcW w:w="3256" w:type="dxa"/>
          </w:tcPr>
          <w:p w14:paraId="4CDDD297" w14:textId="77777777" w:rsidR="00C846EC" w:rsidRPr="000B2B2E" w:rsidRDefault="00C846EC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Statut</w:t>
            </w:r>
          </w:p>
        </w:tc>
        <w:tc>
          <w:tcPr>
            <w:tcW w:w="5806" w:type="dxa"/>
          </w:tcPr>
          <w:p w14:paraId="74E4D015" w14:textId="77777777" w:rsidR="00C846EC" w:rsidRPr="000B2B2E" w:rsidRDefault="000A7658" w:rsidP="00603B4E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Praticien </w:t>
            </w:r>
            <w:r w:rsidR="00055F89">
              <w:rPr>
                <w:rFonts w:ascii="Century Gothic" w:hAnsi="Century Gothic"/>
                <w:sz w:val="19"/>
                <w:szCs w:val="19"/>
              </w:rPr>
              <w:t>hospitalier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603B4E">
              <w:rPr>
                <w:rFonts w:ascii="Century Gothic" w:hAnsi="Century Gothic"/>
                <w:sz w:val="19"/>
                <w:szCs w:val="19"/>
              </w:rPr>
              <w:t>ou praticien contractuel ou assistant</w:t>
            </w:r>
          </w:p>
        </w:tc>
      </w:tr>
      <w:tr w:rsidR="00C846EC" w:rsidRPr="000B2B2E" w14:paraId="2008A3D9" w14:textId="77777777" w:rsidTr="00B67AE3">
        <w:tc>
          <w:tcPr>
            <w:tcW w:w="3256" w:type="dxa"/>
          </w:tcPr>
          <w:p w14:paraId="3747462A" w14:textId="77777777" w:rsidR="00C846EC" w:rsidRPr="000B2B2E" w:rsidRDefault="00C846EC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Lieux de travail</w:t>
            </w:r>
          </w:p>
        </w:tc>
        <w:tc>
          <w:tcPr>
            <w:tcW w:w="5806" w:type="dxa"/>
          </w:tcPr>
          <w:p w14:paraId="445B81A3" w14:textId="77777777" w:rsidR="00290420" w:rsidRDefault="00290420" w:rsidP="008D63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Intra : site Lasalle, rue du général Lasalle </w:t>
            </w:r>
          </w:p>
          <w:p w14:paraId="058935E4" w14:textId="77777777" w:rsidR="00C846EC" w:rsidRDefault="000A7658" w:rsidP="008D63CC">
            <w:pPr>
              <w:rPr>
                <w:rFonts w:ascii="Century Gothic" w:hAnsi="Century Gothic"/>
                <w:sz w:val="19"/>
                <w:szCs w:val="19"/>
              </w:rPr>
            </w:pPr>
            <w:proofErr w:type="spellStart"/>
            <w:r>
              <w:rPr>
                <w:rFonts w:ascii="Century Gothic" w:hAnsi="Century Gothic"/>
                <w:sz w:val="19"/>
                <w:szCs w:val="19"/>
              </w:rPr>
              <w:t>Cmp</w:t>
            </w:r>
            <w:proofErr w:type="spellEnd"/>
            <w:r w:rsidR="00290420">
              <w:rPr>
                <w:rFonts w:ascii="Century Gothic" w:hAnsi="Century Gothic"/>
                <w:sz w:val="19"/>
                <w:szCs w:val="19"/>
              </w:rPr>
              <w:t xml:space="preserve"> : </w:t>
            </w:r>
            <w:r>
              <w:rPr>
                <w:rFonts w:ascii="Century Gothic" w:hAnsi="Century Gothic"/>
                <w:sz w:val="19"/>
                <w:szCs w:val="19"/>
              </w:rPr>
              <w:t xml:space="preserve">213 rue de </w:t>
            </w:r>
            <w:r w:rsidR="00055F89">
              <w:rPr>
                <w:rFonts w:ascii="Century Gothic" w:hAnsi="Century Gothic"/>
                <w:sz w:val="19"/>
                <w:szCs w:val="19"/>
              </w:rPr>
              <w:t>Belleville</w:t>
            </w:r>
          </w:p>
          <w:p w14:paraId="7BE51FFA" w14:textId="77777777" w:rsidR="00290420" w:rsidRPr="000B2B2E" w:rsidRDefault="00290420" w:rsidP="008D63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Paris, 19</w:t>
            </w:r>
            <w:r w:rsidRPr="00290420">
              <w:rPr>
                <w:rFonts w:ascii="Century Gothic" w:hAnsi="Century Gothic"/>
                <w:sz w:val="19"/>
                <w:szCs w:val="19"/>
                <w:vertAlign w:val="superscript"/>
              </w:rPr>
              <w:t>ème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arrondissement</w:t>
            </w:r>
          </w:p>
        </w:tc>
      </w:tr>
      <w:tr w:rsidR="00C846EC" w:rsidRPr="000B2B2E" w14:paraId="00A93B98" w14:textId="77777777" w:rsidTr="00B67AE3">
        <w:tc>
          <w:tcPr>
            <w:tcW w:w="3256" w:type="dxa"/>
          </w:tcPr>
          <w:p w14:paraId="06827036" w14:textId="77777777" w:rsidR="00C846EC" w:rsidRPr="000B2B2E" w:rsidRDefault="00C846EC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Organisation du travail</w:t>
            </w:r>
          </w:p>
        </w:tc>
        <w:tc>
          <w:tcPr>
            <w:tcW w:w="5806" w:type="dxa"/>
          </w:tcPr>
          <w:p w14:paraId="551779D1" w14:textId="77777777" w:rsidR="00C846EC" w:rsidRPr="000B2B2E" w:rsidRDefault="000A7658" w:rsidP="008D63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10 </w:t>
            </w:r>
            <w:r w:rsidR="00055F89">
              <w:rPr>
                <w:rFonts w:ascii="Century Gothic" w:hAnsi="Century Gothic"/>
                <w:sz w:val="19"/>
                <w:szCs w:val="19"/>
              </w:rPr>
              <w:t>demi-journées</w:t>
            </w:r>
          </w:p>
        </w:tc>
      </w:tr>
      <w:tr w:rsidR="00C846EC" w:rsidRPr="000B2B2E" w14:paraId="495833A2" w14:textId="77777777" w:rsidTr="00B67AE3">
        <w:tc>
          <w:tcPr>
            <w:tcW w:w="3256" w:type="dxa"/>
          </w:tcPr>
          <w:p w14:paraId="775FE293" w14:textId="77777777" w:rsidR="00C846EC" w:rsidRPr="000B2B2E" w:rsidRDefault="00C846EC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Spécificités liées à la fonction</w:t>
            </w:r>
          </w:p>
        </w:tc>
        <w:tc>
          <w:tcPr>
            <w:tcW w:w="5806" w:type="dxa"/>
          </w:tcPr>
          <w:p w14:paraId="34840FA0" w14:textId="77777777" w:rsidR="001E1D93" w:rsidRPr="000B2B2E" w:rsidRDefault="000A7658" w:rsidP="008D63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Polyvalence avec possibilité de consultation en psycho-traumatisme</w:t>
            </w:r>
          </w:p>
        </w:tc>
      </w:tr>
      <w:tr w:rsidR="00C846EC" w:rsidRPr="000B2B2E" w14:paraId="7B03C21B" w14:textId="77777777" w:rsidTr="00B67AE3">
        <w:tc>
          <w:tcPr>
            <w:tcW w:w="3256" w:type="dxa"/>
          </w:tcPr>
          <w:p w14:paraId="57C1A4C4" w14:textId="77777777" w:rsidR="00C846EC" w:rsidRPr="000B2B2E" w:rsidRDefault="00C846EC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 xml:space="preserve">Poste à pourvoir à compter du </w:t>
            </w:r>
          </w:p>
        </w:tc>
        <w:tc>
          <w:tcPr>
            <w:tcW w:w="5806" w:type="dxa"/>
          </w:tcPr>
          <w:p w14:paraId="3ADAE804" w14:textId="77777777" w:rsidR="00C846EC" w:rsidRPr="000B2B2E" w:rsidRDefault="002D1645" w:rsidP="000B2B2E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Dès que possible</w:t>
            </w:r>
          </w:p>
        </w:tc>
      </w:tr>
      <w:tr w:rsidR="00C846EC" w:rsidRPr="000B2B2E" w14:paraId="3686DE63" w14:textId="77777777" w:rsidTr="00B67AE3">
        <w:trPr>
          <w:trHeight w:val="58"/>
        </w:trPr>
        <w:tc>
          <w:tcPr>
            <w:tcW w:w="3256" w:type="dxa"/>
          </w:tcPr>
          <w:p w14:paraId="5A3A9226" w14:textId="77777777" w:rsidR="00C846EC" w:rsidRPr="000B2B2E" w:rsidRDefault="00C846EC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Candidatures à adresser</w:t>
            </w:r>
          </w:p>
        </w:tc>
        <w:tc>
          <w:tcPr>
            <w:tcW w:w="5806" w:type="dxa"/>
          </w:tcPr>
          <w:p w14:paraId="14059DE4" w14:textId="77777777" w:rsidR="00C846EC" w:rsidRPr="000B2B2E" w:rsidRDefault="00836434" w:rsidP="000B2B2E">
            <w:pPr>
              <w:rPr>
                <w:rFonts w:ascii="Century Gothic" w:hAnsi="Century Gothic"/>
                <w:sz w:val="19"/>
                <w:szCs w:val="19"/>
              </w:rPr>
            </w:pPr>
            <w:hyperlink r:id="rId9" w:history="1">
              <w:r w:rsidR="002D1645" w:rsidRPr="00A43DC9">
                <w:rPr>
                  <w:rStyle w:val="Lienhypertexte"/>
                  <w:rFonts w:ascii="Calibri" w:eastAsia="Times New Roman" w:hAnsi="Calibri" w:cs="Calibri"/>
                </w:rPr>
                <w:t>marc-antoine.dalbis@ghu-paris.fr</w:t>
              </w:r>
            </w:hyperlink>
            <w:r w:rsidR="002D1645">
              <w:rPr>
                <w:rFonts w:ascii="Calibri" w:eastAsia="Times New Roman" w:hAnsi="Calibri" w:cs="Calibri"/>
              </w:rPr>
              <w:t xml:space="preserve"> </w:t>
            </w:r>
          </w:p>
        </w:tc>
      </w:tr>
    </w:tbl>
    <w:p w14:paraId="6F0E5C65" w14:textId="77777777" w:rsidR="00342D1A" w:rsidRPr="000B2B2E" w:rsidRDefault="00342D1A" w:rsidP="00BF15B4">
      <w:pPr>
        <w:spacing w:after="0" w:line="240" w:lineRule="auto"/>
        <w:rPr>
          <w:rFonts w:ascii="Century Gothic" w:hAnsi="Century Gothic"/>
          <w:b/>
        </w:rPr>
      </w:pPr>
    </w:p>
    <w:p w14:paraId="14FB8621" w14:textId="77777777" w:rsidR="004C5CE7" w:rsidRPr="002B6E74" w:rsidRDefault="004C5CE7" w:rsidP="002B6E7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VOUS SOUHAITEZ REJOINDRE UN ACTEUR HOSPITALIER MAJEUR DANS LA PRISE EN CHARGE EN PSYCHIATRIE ET NEUROSCIENCES ? </w:t>
      </w:r>
    </w:p>
    <w:p w14:paraId="10556826" w14:textId="77777777" w:rsidR="00C61DEC" w:rsidRPr="003C112A" w:rsidRDefault="00C61DEC" w:rsidP="00C61DEC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3C112A">
        <w:rPr>
          <w:rFonts w:ascii="Century Gothic" w:hAnsi="Century Gothic"/>
          <w:color w:val="555E5E"/>
        </w:rPr>
        <w:t xml:space="preserve">Le </w:t>
      </w:r>
      <w:hyperlink r:id="rId10" w:history="1">
        <w:r w:rsidRPr="003C112A">
          <w:rPr>
            <w:rStyle w:val="Lienhypertexte"/>
            <w:rFonts w:ascii="Century Gothic" w:hAnsi="Century Gothic"/>
            <w:color w:val="555E5E"/>
          </w:rPr>
          <w:t xml:space="preserve">Groupe </w:t>
        </w:r>
        <w:r>
          <w:rPr>
            <w:rStyle w:val="Lienhypertexte"/>
            <w:rFonts w:ascii="Century Gothic" w:hAnsi="Century Gothic"/>
            <w:color w:val="555E5E"/>
          </w:rPr>
          <w:t>Hospitalier U</w:t>
        </w:r>
        <w:r w:rsidRPr="003C112A">
          <w:rPr>
            <w:rStyle w:val="Lienhypertexte"/>
            <w:rFonts w:ascii="Century Gothic" w:hAnsi="Century Gothic"/>
            <w:color w:val="555E5E"/>
          </w:rPr>
          <w:t>niversitaire Paris psychiatrie &amp; neurosciences</w:t>
        </w:r>
      </w:hyperlink>
      <w:r w:rsidRPr="003C112A">
        <w:rPr>
          <w:rFonts w:ascii="Century Gothic" w:hAnsi="Century Gothic"/>
          <w:color w:val="555E5E"/>
        </w:rPr>
        <w:t xml:space="preserve"> est né le 1</w:t>
      </w:r>
      <w:r w:rsidRPr="003C112A">
        <w:rPr>
          <w:rFonts w:ascii="Century Gothic" w:hAnsi="Century Gothic"/>
          <w:color w:val="555E5E"/>
          <w:vertAlign w:val="superscript"/>
        </w:rPr>
        <w:t>er</w:t>
      </w:r>
      <w:r w:rsidRPr="003C112A">
        <w:rPr>
          <w:rFonts w:ascii="Century Gothic" w:hAnsi="Century Gothic"/>
          <w:color w:val="555E5E"/>
        </w:rPr>
        <w:t xml:space="preserve"> janvier 2019 des rapprochements des hôpitaux Sainte-Anne, Maison Blanche et Perray-Vaucluse.  </w:t>
      </w:r>
      <w:r>
        <w:rPr>
          <w:rFonts w:ascii="Century Gothic" w:hAnsi="Century Gothic"/>
          <w:color w:val="555E5E"/>
        </w:rPr>
        <w:t>Leader dans le soin, l’enseignement et la recherche portant sur les</w:t>
      </w:r>
      <w:r w:rsidRPr="003C112A">
        <w:rPr>
          <w:rFonts w:ascii="Century Gothic" w:hAnsi="Century Gothic"/>
          <w:color w:val="555E5E"/>
        </w:rPr>
        <w:t xml:space="preserve"> maladies mentales et </w:t>
      </w:r>
      <w:r>
        <w:rPr>
          <w:rFonts w:ascii="Century Gothic" w:hAnsi="Century Gothic"/>
          <w:color w:val="555E5E"/>
        </w:rPr>
        <w:t>le</w:t>
      </w:r>
      <w:r w:rsidRPr="003C112A">
        <w:rPr>
          <w:rFonts w:ascii="Century Gothic" w:hAnsi="Century Gothic"/>
          <w:color w:val="555E5E"/>
        </w:rPr>
        <w:t xml:space="preserve"> système nerveux, </w:t>
      </w:r>
      <w:r>
        <w:rPr>
          <w:rFonts w:ascii="Century Gothic" w:hAnsi="Century Gothic"/>
          <w:color w:val="555E5E"/>
        </w:rPr>
        <w:t>le GHU Paris</w:t>
      </w:r>
      <w:r w:rsidRPr="003C112A">
        <w:rPr>
          <w:rFonts w:ascii="Century Gothic" w:hAnsi="Century Gothic"/>
          <w:color w:val="555E5E"/>
        </w:rPr>
        <w:t xml:space="preserve"> </w:t>
      </w:r>
      <w:r>
        <w:rPr>
          <w:rFonts w:ascii="Century Gothic" w:hAnsi="Century Gothic"/>
          <w:color w:val="555E5E"/>
        </w:rPr>
        <w:t xml:space="preserve">emploie </w:t>
      </w:r>
      <w:r w:rsidRPr="003C112A">
        <w:rPr>
          <w:rFonts w:ascii="Century Gothic" w:hAnsi="Century Gothic"/>
          <w:color w:val="555E5E"/>
        </w:rPr>
        <w:t xml:space="preserve">5600 </w:t>
      </w:r>
      <w:r>
        <w:rPr>
          <w:rFonts w:ascii="Century Gothic" w:hAnsi="Century Gothic"/>
          <w:color w:val="555E5E"/>
        </w:rPr>
        <w:t>hospitaliers répartis dans 100 sites parisiens, ainsi que des unités à dimension médico-sociale dans le 91 et le 93</w:t>
      </w:r>
      <w:r w:rsidRPr="003C112A">
        <w:rPr>
          <w:rFonts w:ascii="Century Gothic" w:hAnsi="Century Gothic"/>
          <w:color w:val="555E5E"/>
        </w:rPr>
        <w:t xml:space="preserve">. </w:t>
      </w:r>
    </w:p>
    <w:p w14:paraId="37892A36" w14:textId="77777777" w:rsidR="00C61DEC" w:rsidRPr="007C2936" w:rsidRDefault="00C61DEC" w:rsidP="00C61DEC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  <w:u w:val="none"/>
        </w:rPr>
      </w:pPr>
      <w:r w:rsidRPr="003C112A">
        <w:rPr>
          <w:rFonts w:ascii="Century Gothic" w:hAnsi="Century Gothic"/>
          <w:color w:val="555E5E"/>
        </w:rPr>
        <w:t>Le GHU Paris assure la prise en charge de proximité, de recours et de spécialité des Parisiens dans toutes les disciplines associées à la santé mentale et au cerveau au sein de 170 structures réparties dans la capitale.</w:t>
      </w:r>
      <w:r>
        <w:rPr>
          <w:rFonts w:ascii="Century Gothic" w:hAnsi="Century Gothic"/>
          <w:color w:val="555E5E"/>
        </w:rPr>
        <w:t xml:space="preserve">  </w:t>
      </w:r>
      <w:hyperlink r:id="rId11" w:history="1">
        <w:r w:rsidRPr="007C2936">
          <w:rPr>
            <w:rStyle w:val="Lienhypertexte"/>
            <w:rFonts w:ascii="Century Gothic" w:hAnsi="Century Gothic"/>
          </w:rPr>
          <w:t>2 ‘ chrono pour connaître le GHU Paris en images animées </w:t>
        </w:r>
      </w:hyperlink>
    </w:p>
    <w:p w14:paraId="24251A22" w14:textId="77777777" w:rsidR="00C61DEC" w:rsidRDefault="00836434" w:rsidP="00C61DEC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</w:rPr>
      </w:pPr>
      <w:hyperlink r:id="rId12" w:history="1">
        <w:r w:rsidR="00C61DEC" w:rsidRPr="00FA5A0E">
          <w:rPr>
            <w:rStyle w:val="Lienhypertexte"/>
            <w:rFonts w:ascii="Century Gothic" w:hAnsi="Century Gothic"/>
          </w:rPr>
          <w:t>www.ghu-paris.fr</w:t>
        </w:r>
      </w:hyperlink>
      <w:r w:rsidR="00C61DEC">
        <w:rPr>
          <w:rStyle w:val="Lienhypertexte"/>
          <w:rFonts w:ascii="Century Gothic" w:hAnsi="Century Gothic"/>
          <w:color w:val="555E5E"/>
        </w:rPr>
        <w:t xml:space="preserve"> / </w:t>
      </w:r>
      <w:proofErr w:type="spellStart"/>
      <w:r w:rsidR="00C61DEC">
        <w:rPr>
          <w:rStyle w:val="Lienhypertexte"/>
          <w:rFonts w:ascii="Century Gothic" w:hAnsi="Century Gothic"/>
          <w:color w:val="555E5E"/>
        </w:rPr>
        <w:t>Linkedn</w:t>
      </w:r>
      <w:proofErr w:type="spellEnd"/>
      <w:r w:rsidR="00C61DEC">
        <w:rPr>
          <w:rStyle w:val="Lienhypertexte"/>
          <w:rFonts w:ascii="Century Gothic" w:hAnsi="Century Gothic"/>
          <w:color w:val="555E5E"/>
        </w:rPr>
        <w:t xml:space="preserve"> </w:t>
      </w:r>
      <w:hyperlink r:id="rId13" w:history="1">
        <w:proofErr w:type="spellStart"/>
        <w:r w:rsidR="00C61DEC" w:rsidRPr="007C2936">
          <w:rPr>
            <w:rStyle w:val="Lienhypertexte"/>
            <w:rFonts w:ascii="Century Gothic" w:hAnsi="Century Gothic"/>
          </w:rPr>
          <w:t>Ghu</w:t>
        </w:r>
        <w:proofErr w:type="spellEnd"/>
        <w:r w:rsidR="00C61DEC" w:rsidRPr="007C2936">
          <w:rPr>
            <w:rStyle w:val="Lienhypertexte"/>
            <w:rFonts w:ascii="Century Gothic" w:hAnsi="Century Gothic"/>
          </w:rPr>
          <w:t xml:space="preserve"> Paris</w:t>
        </w:r>
      </w:hyperlink>
      <w:r w:rsidR="00C61DEC">
        <w:rPr>
          <w:rStyle w:val="Lienhypertexte"/>
          <w:rFonts w:ascii="Century Gothic" w:hAnsi="Century Gothic"/>
          <w:color w:val="555E5E"/>
        </w:rPr>
        <w:t xml:space="preserve"> / Twitter @GhuParis</w:t>
      </w:r>
    </w:p>
    <w:p w14:paraId="3E684CE3" w14:textId="77777777" w:rsidR="00C61DEC" w:rsidRPr="007C2936" w:rsidRDefault="00C61DEC" w:rsidP="00C61DEC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7C2936">
        <w:rPr>
          <w:rFonts w:ascii="Century Gothic" w:hAnsi="Century Gothic"/>
          <w:b/>
          <w:color w:val="555E5E"/>
        </w:rPr>
        <w:t>Siège</w:t>
      </w:r>
      <w:r w:rsidRPr="007C2936">
        <w:rPr>
          <w:rFonts w:ascii="Century Gothic" w:hAnsi="Century Gothic"/>
          <w:color w:val="555E5E"/>
        </w:rPr>
        <w:t> : Site Sainte-Anne, 1 rue Cabanis 75014</w:t>
      </w:r>
      <w:r>
        <w:rPr>
          <w:rFonts w:ascii="Century Gothic" w:hAnsi="Century Gothic"/>
          <w:color w:val="555E5E"/>
        </w:rPr>
        <w:t xml:space="preserve"> Paris</w:t>
      </w:r>
    </w:p>
    <w:p w14:paraId="425A85B1" w14:textId="77777777" w:rsidR="00FF0D83" w:rsidRDefault="00FF0D83" w:rsidP="00AB106A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</w:rPr>
      </w:pPr>
    </w:p>
    <w:p w14:paraId="25C7C05A" w14:textId="77777777" w:rsidR="00FF0D83" w:rsidRPr="00C61DEC" w:rsidRDefault="00FF0D83" w:rsidP="00C61DE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ÊTRE </w:t>
      </w:r>
      <w:r w:rsidR="00EB1B4C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MEDECIN</w:t>
      </w: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AU SEIN DU GHU PARIS</w:t>
      </w:r>
    </w:p>
    <w:p w14:paraId="7B2B097E" w14:textId="77777777" w:rsidR="009308C9" w:rsidRPr="003C112A" w:rsidRDefault="009308C9" w:rsidP="00AB106A">
      <w:pPr>
        <w:spacing w:after="0" w:line="240" w:lineRule="auto"/>
        <w:jc w:val="both"/>
        <w:rPr>
          <w:rFonts w:ascii="Century Gothic" w:hAnsi="Century Gothic"/>
          <w:color w:val="555E5E"/>
        </w:rPr>
      </w:pPr>
      <w:r>
        <w:rPr>
          <w:rFonts w:ascii="Century Gothic" w:hAnsi="Century Gothic"/>
          <w:color w:val="555E5E"/>
        </w:rPr>
        <w:t xml:space="preserve">Envie d’en découvrir plus ? Vous trouverez en </w:t>
      </w:r>
      <w:hyperlink r:id="rId14" w:history="1">
        <w:r w:rsidRPr="009308C9">
          <w:rPr>
            <w:rStyle w:val="Lienhypertexte"/>
            <w:rFonts w:ascii="Century Gothic" w:hAnsi="Century Gothic"/>
          </w:rPr>
          <w:t>&gt;&gt;cliquant ici&lt;&lt;</w:t>
        </w:r>
      </w:hyperlink>
      <w:r>
        <w:rPr>
          <w:rFonts w:ascii="Century Gothic" w:hAnsi="Century Gothic"/>
          <w:color w:val="555E5E"/>
        </w:rPr>
        <w:t xml:space="preserve"> les témoignages des soignants du GHU Paris. </w:t>
      </w:r>
    </w:p>
    <w:p w14:paraId="3D182DF2" w14:textId="77777777" w:rsidR="00924BDB" w:rsidRPr="000B2B2E" w:rsidRDefault="00924BDB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8"/>
          <w:szCs w:val="8"/>
          <w:lang w:eastAsia="fr-FR"/>
        </w:rPr>
      </w:pPr>
    </w:p>
    <w:p w14:paraId="63A76A77" w14:textId="77777777" w:rsidR="009308C9" w:rsidRDefault="009308C9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28AC30FF" w14:textId="77777777" w:rsidR="00B67AE3" w:rsidRDefault="00B67AE3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DESCRIPTION DU PÔLE</w:t>
      </w:r>
      <w:r w:rsidR="00290420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75G26</w:t>
      </w:r>
    </w:p>
    <w:p w14:paraId="70E07156" w14:textId="77777777" w:rsidR="00290420" w:rsidRDefault="00290420" w:rsidP="00AE6A7B">
      <w:pPr>
        <w:spacing w:after="0" w:line="240" w:lineRule="auto"/>
        <w:jc w:val="both"/>
        <w:rPr>
          <w:rFonts w:ascii="Century Gothic" w:hAnsi="Century Gothic"/>
          <w:color w:val="555E5E"/>
        </w:rPr>
      </w:pPr>
    </w:p>
    <w:p w14:paraId="6D68F41D" w14:textId="77777777" w:rsidR="00290420" w:rsidRDefault="00290420" w:rsidP="00290420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290420">
        <w:rPr>
          <w:rFonts w:ascii="Century Gothic" w:hAnsi="Century Gothic"/>
          <w:color w:val="555E5E"/>
        </w:rPr>
        <w:t>Le pôle G26 accueille des personnes en souffrance psychique âgées de 18 ans ou plus.  Il prend en charge chaque année 15</w:t>
      </w:r>
      <w:r>
        <w:rPr>
          <w:rFonts w:ascii="Century Gothic" w:hAnsi="Century Gothic"/>
          <w:color w:val="555E5E"/>
        </w:rPr>
        <w:t>60 patients.</w:t>
      </w:r>
    </w:p>
    <w:p w14:paraId="6E69F0BF" w14:textId="77777777" w:rsidR="00290420" w:rsidRPr="00290420" w:rsidRDefault="00290420" w:rsidP="00290420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290420">
        <w:rPr>
          <w:rFonts w:ascii="Century Gothic" w:hAnsi="Century Gothic"/>
          <w:color w:val="555E5E"/>
        </w:rPr>
        <w:t>Différents lieux de soins existent :  </w:t>
      </w:r>
    </w:p>
    <w:p w14:paraId="7145C519" w14:textId="77777777" w:rsidR="00290420" w:rsidRPr="00290420" w:rsidRDefault="00290420" w:rsidP="00290420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color w:val="555E5E"/>
        </w:rPr>
      </w:pPr>
      <w:r w:rsidRPr="00290420">
        <w:rPr>
          <w:rFonts w:ascii="Century Gothic" w:hAnsi="Century Gothic"/>
          <w:color w:val="555E5E"/>
        </w:rPr>
        <w:t>Les Centres Médico-Psychologiques (CMP) reçoivent les patients pour des consultations en ville ; </w:t>
      </w:r>
    </w:p>
    <w:p w14:paraId="1CA737B6" w14:textId="77777777" w:rsidR="00290420" w:rsidRPr="00290420" w:rsidRDefault="00290420" w:rsidP="00290420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color w:val="555E5E"/>
        </w:rPr>
      </w:pPr>
      <w:r w:rsidRPr="00290420">
        <w:rPr>
          <w:rFonts w:ascii="Century Gothic" w:hAnsi="Century Gothic"/>
          <w:color w:val="555E5E"/>
        </w:rPr>
        <w:lastRenderedPageBreak/>
        <w:t>Les Centres d’Accueil Thérapeutique à Temps Partiel (CATTP) organisent des activités groupales thérapeutiques ; </w:t>
      </w:r>
    </w:p>
    <w:p w14:paraId="5610FCAF" w14:textId="20F59339" w:rsidR="00290420" w:rsidRPr="00290420" w:rsidRDefault="00290420" w:rsidP="00290420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color w:val="555E5E"/>
        </w:rPr>
      </w:pPr>
      <w:r w:rsidRPr="00290420">
        <w:rPr>
          <w:rFonts w:ascii="Century Gothic" w:hAnsi="Century Gothic"/>
          <w:color w:val="555E5E"/>
        </w:rPr>
        <w:t>Les Hôpitaux de Jour (HDJ) ou centre de jour pour une hospitalisation à temps partiel ; </w:t>
      </w:r>
    </w:p>
    <w:p w14:paraId="64BAAEEC" w14:textId="77777777" w:rsidR="00290420" w:rsidRPr="00290420" w:rsidRDefault="00290420" w:rsidP="00290420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color w:val="555E5E"/>
        </w:rPr>
      </w:pPr>
      <w:r w:rsidRPr="00290420">
        <w:rPr>
          <w:rFonts w:ascii="Century Gothic" w:hAnsi="Century Gothic"/>
          <w:color w:val="555E5E"/>
        </w:rPr>
        <w:t>Les unités d’hospitalisation à temps complet. </w:t>
      </w:r>
    </w:p>
    <w:p w14:paraId="68D57C68" w14:textId="77777777" w:rsidR="00290420" w:rsidRPr="00290420" w:rsidRDefault="00290420" w:rsidP="00290420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color w:val="555E5E"/>
        </w:rPr>
      </w:pPr>
      <w:r w:rsidRPr="00290420">
        <w:rPr>
          <w:rFonts w:ascii="Century Gothic" w:hAnsi="Century Gothic"/>
          <w:color w:val="555E5E"/>
        </w:rPr>
        <w:t>Un dispositif d’hospitalisation séquentielle au sein de familles d’accueil, de foyers de transition intra et extra hospitalier ainsi que d’appartements thérapeutiques permet de s’adapter aux besoins de chaque personne. </w:t>
      </w:r>
    </w:p>
    <w:p w14:paraId="61129877" w14:textId="77777777" w:rsidR="00290420" w:rsidRPr="00290420" w:rsidRDefault="00290420" w:rsidP="00290420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color w:val="555E5E"/>
        </w:rPr>
      </w:pPr>
      <w:r w:rsidRPr="00290420">
        <w:rPr>
          <w:rFonts w:ascii="Century Gothic" w:hAnsi="Century Gothic"/>
          <w:color w:val="555E5E"/>
        </w:rPr>
        <w:t>Les visites à domicile ou équipe mobile </w:t>
      </w:r>
    </w:p>
    <w:p w14:paraId="217002A5" w14:textId="77777777" w:rsidR="00290420" w:rsidRDefault="00290420" w:rsidP="00290420">
      <w:pPr>
        <w:spacing w:after="0" w:line="240" w:lineRule="auto"/>
        <w:jc w:val="both"/>
        <w:rPr>
          <w:rFonts w:ascii="Century Gothic" w:hAnsi="Century Gothic"/>
          <w:color w:val="555E5E"/>
        </w:rPr>
      </w:pPr>
    </w:p>
    <w:p w14:paraId="61223F9E" w14:textId="77777777" w:rsidR="00290420" w:rsidRPr="00290420" w:rsidRDefault="00290420" w:rsidP="00290420">
      <w:pPr>
        <w:spacing w:after="0" w:line="240" w:lineRule="auto"/>
        <w:jc w:val="both"/>
        <w:rPr>
          <w:rFonts w:ascii="Century Gothic" w:hAnsi="Century Gothic"/>
          <w:color w:val="555E5E"/>
        </w:rPr>
      </w:pPr>
      <w:r>
        <w:rPr>
          <w:rFonts w:ascii="Century Gothic" w:hAnsi="Century Gothic"/>
          <w:color w:val="555E5E"/>
        </w:rPr>
        <w:t xml:space="preserve">Pour en savoir plus sur le pôle 75G26 : </w:t>
      </w:r>
      <w:hyperlink r:id="rId15" w:history="1">
        <w:r w:rsidRPr="005A33BB">
          <w:rPr>
            <w:rStyle w:val="Lienhypertexte"/>
            <w:rFonts w:ascii="Century Gothic" w:hAnsi="Century Gothic"/>
          </w:rPr>
          <w:t>https://www.ghu-paris.fr/fr/pole-75g26-19eme-arrondissement</w:t>
        </w:r>
      </w:hyperlink>
      <w:r>
        <w:rPr>
          <w:rFonts w:ascii="Century Gothic" w:hAnsi="Century Gothic"/>
          <w:color w:val="555E5E"/>
        </w:rPr>
        <w:t xml:space="preserve"> </w:t>
      </w:r>
    </w:p>
    <w:p w14:paraId="79EF7BC4" w14:textId="77777777" w:rsidR="00055F89" w:rsidRDefault="00055F89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736C1991" w14:textId="77777777" w:rsidR="00055F89" w:rsidRDefault="00F77874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5D2CB9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MISSIONS</w:t>
      </w:r>
      <w:r w:rsidR="000A7658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 </w:t>
      </w:r>
    </w:p>
    <w:p w14:paraId="151DCA30" w14:textId="3BEEFEC6" w:rsidR="00AE6A7B" w:rsidRDefault="00290420" w:rsidP="0029042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Le praticien intervient</w:t>
      </w:r>
      <w:r w:rsidR="00AE6A7B" w:rsidRPr="00AE6A7B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 sur le site d’hospitalisation comprenant une unité</w:t>
      </w:r>
      <w:r w:rsidR="000C11A1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.</w:t>
      </w:r>
    </w:p>
    <w:p w14:paraId="32E24651" w14:textId="77777777" w:rsidR="00AE6A7B" w:rsidRDefault="00AE6A7B" w:rsidP="0029042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Participation</w:t>
      </w:r>
      <w:r w:rsidRPr="00AE6A7B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 à la mise en place du parcours de rétablissement et réhabilitation</w:t>
      </w:r>
      <w:r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 du patient au sein du pôle en </w:t>
      </w:r>
      <w:r w:rsidRPr="00AE6A7B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partenariat avec </w:t>
      </w:r>
      <w:r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l’ensemble des unités du pole (</w:t>
      </w:r>
      <w:r w:rsidRPr="00AE6A7B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Equipe mobile de rétablissement,</w:t>
      </w:r>
      <w:r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 CATTP</w:t>
      </w:r>
      <w:r w:rsidRPr="00AE6A7B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, CMP)</w:t>
      </w:r>
    </w:p>
    <w:p w14:paraId="2DB051B7" w14:textId="77777777" w:rsidR="00AE6A7B" w:rsidRDefault="00AE6A7B" w:rsidP="0029042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</w:pPr>
      <w:r w:rsidRPr="00AE6A7B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Possibilité d’</w:t>
      </w:r>
      <w:r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effectuer </w:t>
      </w:r>
      <w:r w:rsidRPr="00AE6A7B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une journée en ambulatoire pour consultation individuelle ou thérapie familiale</w:t>
      </w:r>
    </w:p>
    <w:p w14:paraId="603BAD79" w14:textId="77777777" w:rsidR="00AE6A7B" w:rsidRPr="00AE6A7B" w:rsidRDefault="00AE6A7B" w:rsidP="0029042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</w:pPr>
      <w:r w:rsidRPr="00AE6A7B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Participation à la permanence de soins et au pool de garde sur site</w:t>
      </w:r>
    </w:p>
    <w:p w14:paraId="6C7AEC8C" w14:textId="77777777" w:rsidR="009E6C85" w:rsidRDefault="009E6C85" w:rsidP="009E6C85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fr-FR"/>
        </w:rPr>
      </w:pPr>
    </w:p>
    <w:p w14:paraId="42D19EC9" w14:textId="77777777" w:rsidR="00055F89" w:rsidRDefault="00B67AE3" w:rsidP="009E6C85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B67AE3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PROFIL </w:t>
      </w:r>
      <w:r w:rsidR="000A7658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</w:t>
      </w:r>
    </w:p>
    <w:p w14:paraId="7EC55C75" w14:textId="77777777" w:rsidR="00055F89" w:rsidRDefault="00055F89" w:rsidP="009E6C85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7478F3BB" w14:textId="77777777" w:rsidR="00B67AE3" w:rsidRPr="00055F89" w:rsidRDefault="00055F89" w:rsidP="009E6C85">
      <w:pPr>
        <w:spacing w:after="0" w:line="240" w:lineRule="auto"/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D</w:t>
      </w:r>
      <w:r w:rsidR="000A7658" w:rsidRPr="00055F89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ynamique et motivé</w:t>
      </w:r>
    </w:p>
    <w:p w14:paraId="5F2B3741" w14:textId="77777777" w:rsidR="000B2B2E" w:rsidRDefault="000B2B2E" w:rsidP="009E6C85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fr-FR"/>
        </w:rPr>
      </w:pPr>
    </w:p>
    <w:p w14:paraId="17F3AF3A" w14:textId="77777777" w:rsidR="00055F89" w:rsidRDefault="007529A7" w:rsidP="001E1D9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7529A7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CONTACT</w:t>
      </w:r>
      <w:r w:rsidR="000A7658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</w:t>
      </w:r>
    </w:p>
    <w:p w14:paraId="7A960C26" w14:textId="77777777" w:rsidR="00055F89" w:rsidRDefault="00055F89" w:rsidP="001E1D9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695D03F7" w14:textId="28501675" w:rsidR="003C112A" w:rsidRDefault="00055F89" w:rsidP="001E1D93">
      <w:pPr>
        <w:spacing w:after="0" w:line="240" w:lineRule="auto"/>
      </w:pPr>
      <w:r w:rsidRPr="00055F89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Dr </w:t>
      </w:r>
      <w:r w:rsidR="000C11A1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Marc-Antoine </w:t>
      </w:r>
      <w:proofErr w:type="spellStart"/>
      <w:r w:rsidR="000C11A1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>d’Albis</w:t>
      </w:r>
      <w:proofErr w:type="spellEnd"/>
      <w:r w:rsidRPr="00055F89">
        <w:rPr>
          <w:rFonts w:ascii="Century Gothic" w:eastAsia="Times New Roman" w:hAnsi="Century Gothic" w:cs="Times New Roman"/>
          <w:bCs/>
          <w:color w:val="262626" w:themeColor="text1" w:themeTint="D9"/>
          <w:szCs w:val="20"/>
          <w:lang w:eastAsia="fr-FR"/>
        </w:rPr>
        <w:t xml:space="preserve"> – Chef de pôle : </w:t>
      </w:r>
      <w:hyperlink r:id="rId16" w:history="1">
        <w:r w:rsidR="003D79F3" w:rsidRPr="00C45920">
          <w:rPr>
            <w:rStyle w:val="Lienhypertexte"/>
          </w:rPr>
          <w:t>marc-antoine.dalbis@ghu-paris.fr</w:t>
        </w:r>
      </w:hyperlink>
    </w:p>
    <w:p w14:paraId="51DDE5CB" w14:textId="77777777" w:rsidR="003D79F3" w:rsidRPr="00055F89" w:rsidRDefault="003D79F3" w:rsidP="001E1D93">
      <w:pPr>
        <w:spacing w:after="0" w:line="240" w:lineRule="auto"/>
        <w:rPr>
          <w:rFonts w:ascii="Century Gothic" w:hAnsi="Century Gothic"/>
          <w:sz w:val="24"/>
        </w:rPr>
      </w:pPr>
    </w:p>
    <w:sectPr w:rsidR="003D79F3" w:rsidRPr="00055F89" w:rsidSect="00220968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D296" w14:textId="77777777" w:rsidR="00836434" w:rsidRDefault="00836434" w:rsidP="003C0AE0">
      <w:pPr>
        <w:spacing w:after="0" w:line="240" w:lineRule="auto"/>
      </w:pPr>
      <w:r>
        <w:separator/>
      </w:r>
    </w:p>
  </w:endnote>
  <w:endnote w:type="continuationSeparator" w:id="0">
    <w:p w14:paraId="1DB6BEB2" w14:textId="77777777" w:rsidR="00836434" w:rsidRDefault="00836434" w:rsidP="003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A871" w14:textId="77777777" w:rsidR="00A725C0" w:rsidRDefault="00220968" w:rsidP="00A725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D5B7C29" wp14:editId="39B72E1A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6405843" cy="1057275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9" t="45698" r="54200" b="37227"/>
                  <a:stretch/>
                </pic:blipFill>
                <pic:spPr bwMode="auto">
                  <a:xfrm>
                    <a:off x="0" y="0"/>
                    <a:ext cx="6405843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AE3" w:rsidRPr="00300417">
      <w:rPr>
        <w:rFonts w:ascii="Century Gothic" w:hAnsi="Century Gothic"/>
        <w:b/>
        <w:noProof/>
        <w:lang w:eastAsia="fr-FR"/>
      </w:rPr>
      <w:drawing>
        <wp:anchor distT="0" distB="0" distL="114300" distR="114300" simplePos="0" relativeHeight="251662336" behindDoc="0" locked="0" layoutInCell="1" allowOverlap="1" wp14:anchorId="43706300" wp14:editId="4992E2BF">
          <wp:simplePos x="0" y="0"/>
          <wp:positionH relativeFrom="margin">
            <wp:posOffset>-434340</wp:posOffset>
          </wp:positionH>
          <wp:positionV relativeFrom="paragraph">
            <wp:posOffset>-247650</wp:posOffset>
          </wp:positionV>
          <wp:extent cx="6699584" cy="247650"/>
          <wp:effectExtent l="0" t="0" r="6350" b="0"/>
          <wp:wrapSquare wrapText="bothSides"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584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0CB46" w14:textId="77777777" w:rsidR="00A725C0" w:rsidRDefault="00B67AE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119ADF" wp14:editId="756F1C8C">
              <wp:simplePos x="0" y="0"/>
              <wp:positionH relativeFrom="column">
                <wp:posOffset>2979420</wp:posOffset>
              </wp:positionH>
              <wp:positionV relativeFrom="paragraph">
                <wp:posOffset>13335</wp:posOffset>
              </wp:positionV>
              <wp:extent cx="2360930" cy="7391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2868E" w14:textId="77777777" w:rsidR="00A725C0" w:rsidRDefault="00A725C0" w:rsidP="00A725C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GHU Paris psychiatrie &amp; neurosciences</w:t>
                          </w:r>
                        </w:p>
                        <w:p w14:paraId="4F30EC0C" w14:textId="77777777" w:rsidR="00A725C0" w:rsidRDefault="00A725C0" w:rsidP="00A725C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1 rue Cabanis, 75014 Paris</w:t>
                          </w:r>
                        </w:p>
                        <w:p w14:paraId="22DC68F2" w14:textId="77777777" w:rsidR="00A725C0" w:rsidRDefault="00836434" w:rsidP="00B67AE3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hyperlink r:id="rId3" w:history="1">
                            <w:r w:rsidR="00B67AE3" w:rsidRPr="00510C41">
                              <w:rPr>
                                <w:rStyle w:val="Lienhypertexte"/>
                                <w:rFonts w:ascii="Century Gothic" w:hAnsi="Century Gothic"/>
                                <w:sz w:val="16"/>
                              </w:rPr>
                              <w:t>www.ghu-paris.fr</w:t>
                            </w:r>
                          </w:hyperlink>
                          <w:r w:rsidR="00B67AE3"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 xml:space="preserve"> </w:t>
                          </w:r>
                          <w:r w:rsidR="00A725C0"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br/>
                            <w:t xml:space="preserve"> </w:t>
                          </w:r>
                        </w:p>
                        <w:p w14:paraId="7CB2C48E" w14:textId="77777777" w:rsidR="00A725C0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</w:p>
                        <w:p w14:paraId="712B8813" w14:textId="77777777" w:rsidR="00A725C0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br/>
                            <w:t xml:space="preserve"> </w:t>
                          </w:r>
                        </w:p>
                        <w:p w14:paraId="2E1030EC" w14:textId="77777777" w:rsidR="00A725C0" w:rsidRPr="00A72492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9AD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4.6pt;margin-top:1.05pt;width:185.9pt;height:58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" stroked="f">
              <v:textbox>
                <w:txbxContent>
                  <w:p w14:paraId="6C42868E" w14:textId="77777777" w:rsidR="00A725C0" w:rsidRDefault="00A725C0" w:rsidP="00A725C0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GHU Paris psychiatrie &amp; neurosciences</w:t>
                    </w:r>
                  </w:p>
                  <w:p w14:paraId="4F30EC0C" w14:textId="77777777" w:rsidR="00A725C0" w:rsidRDefault="00A725C0" w:rsidP="00A725C0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1 rue Cabanis, 75014 Paris</w:t>
                    </w:r>
                  </w:p>
                  <w:p w14:paraId="22DC68F2" w14:textId="77777777" w:rsidR="00A725C0" w:rsidRDefault="00836434" w:rsidP="00B67AE3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hyperlink r:id="rId4" w:history="1">
                      <w:r w:rsidR="00B67AE3" w:rsidRPr="00510C41">
                        <w:rPr>
                          <w:rStyle w:val="Lienhypertexte"/>
                          <w:rFonts w:ascii="Century Gothic" w:hAnsi="Century Gothic"/>
                          <w:sz w:val="16"/>
                        </w:rPr>
                        <w:t>www.ghu-paris.fr</w:t>
                      </w:r>
                    </w:hyperlink>
                    <w:r w:rsidR="00B67AE3"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 xml:space="preserve"> </w:t>
                    </w:r>
                    <w:r w:rsidR="00A725C0"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br/>
                      <w:t xml:space="preserve"> </w:t>
                    </w:r>
                  </w:p>
                  <w:p w14:paraId="7CB2C48E" w14:textId="77777777" w:rsidR="00A725C0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</w:p>
                  <w:p w14:paraId="712B8813" w14:textId="77777777" w:rsidR="00A725C0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br/>
                      <w:t xml:space="preserve"> </w:t>
                    </w:r>
                  </w:p>
                  <w:p w14:paraId="2E1030EC" w14:textId="77777777" w:rsidR="00A725C0" w:rsidRPr="00A72492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/>
        <w:caps/>
        <w:noProof/>
        <w:color w:val="404040" w:themeColor="text1" w:themeTint="BF"/>
        <w:sz w:val="32"/>
        <w:lang w:eastAsia="fr-FR"/>
      </w:rPr>
      <w:drawing>
        <wp:anchor distT="0" distB="0" distL="114300" distR="114300" simplePos="0" relativeHeight="251659264" behindDoc="1" locked="0" layoutInCell="1" allowOverlap="1" wp14:anchorId="42A72843" wp14:editId="21C0607E">
          <wp:simplePos x="0" y="0"/>
          <wp:positionH relativeFrom="column">
            <wp:posOffset>1566545</wp:posOffset>
          </wp:positionH>
          <wp:positionV relativeFrom="paragraph">
            <wp:posOffset>36830</wp:posOffset>
          </wp:positionV>
          <wp:extent cx="1335405" cy="380365"/>
          <wp:effectExtent l="0" t="0" r="0" b="635"/>
          <wp:wrapTight wrapText="bothSides">
            <wp:wrapPolygon edited="0">
              <wp:start x="2773" y="0"/>
              <wp:lineTo x="1233" y="2164"/>
              <wp:lineTo x="0" y="9736"/>
              <wp:lineTo x="0" y="20554"/>
              <wp:lineTo x="3081" y="20554"/>
              <wp:lineTo x="21261" y="20554"/>
              <wp:lineTo x="21261" y="0"/>
              <wp:lineTo x="2773" y="0"/>
            </wp:wrapPolygon>
          </wp:wrapTight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ghu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2F633" w14:textId="77777777" w:rsidR="00A725C0" w:rsidRDefault="00A72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7AB7" w14:textId="77777777" w:rsidR="00836434" w:rsidRDefault="00836434" w:rsidP="003C0AE0">
      <w:pPr>
        <w:spacing w:after="0" w:line="240" w:lineRule="auto"/>
      </w:pPr>
      <w:r>
        <w:separator/>
      </w:r>
    </w:p>
  </w:footnote>
  <w:footnote w:type="continuationSeparator" w:id="0">
    <w:p w14:paraId="5676C4AA" w14:textId="77777777" w:rsidR="00836434" w:rsidRDefault="00836434" w:rsidP="003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346"/>
    <w:multiLevelType w:val="multilevel"/>
    <w:tmpl w:val="1550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4E71"/>
    <w:multiLevelType w:val="multilevel"/>
    <w:tmpl w:val="0AE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07507"/>
    <w:multiLevelType w:val="hybridMultilevel"/>
    <w:tmpl w:val="B134C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348C"/>
    <w:multiLevelType w:val="multilevel"/>
    <w:tmpl w:val="176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D163B"/>
    <w:multiLevelType w:val="hybridMultilevel"/>
    <w:tmpl w:val="FD1A75A6"/>
    <w:lvl w:ilvl="0" w:tplc="E78ED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5B4D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F4D15"/>
    <w:multiLevelType w:val="hybridMultilevel"/>
    <w:tmpl w:val="DB607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B12A0"/>
    <w:multiLevelType w:val="hybridMultilevel"/>
    <w:tmpl w:val="C28647E2"/>
    <w:lvl w:ilvl="0" w:tplc="4CB8A314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74CF6"/>
    <w:multiLevelType w:val="multilevel"/>
    <w:tmpl w:val="868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E4E87"/>
    <w:multiLevelType w:val="multilevel"/>
    <w:tmpl w:val="AD3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D134A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74393"/>
    <w:multiLevelType w:val="hybridMultilevel"/>
    <w:tmpl w:val="AC720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0131"/>
    <w:multiLevelType w:val="hybridMultilevel"/>
    <w:tmpl w:val="C478B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10479"/>
    <w:multiLevelType w:val="hybridMultilevel"/>
    <w:tmpl w:val="FC980EFE"/>
    <w:lvl w:ilvl="0" w:tplc="04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638A78FD"/>
    <w:multiLevelType w:val="multilevel"/>
    <w:tmpl w:val="94E6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B0014"/>
    <w:multiLevelType w:val="hybridMultilevel"/>
    <w:tmpl w:val="60E6C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3BE5"/>
    <w:multiLevelType w:val="multilevel"/>
    <w:tmpl w:val="DB8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74"/>
    <w:rsid w:val="000458D5"/>
    <w:rsid w:val="00055F89"/>
    <w:rsid w:val="00065995"/>
    <w:rsid w:val="000A7658"/>
    <w:rsid w:val="000B2B2E"/>
    <w:rsid w:val="000B3D78"/>
    <w:rsid w:val="000C11A1"/>
    <w:rsid w:val="000D68AD"/>
    <w:rsid w:val="000E0F19"/>
    <w:rsid w:val="000E16CF"/>
    <w:rsid w:val="00121C63"/>
    <w:rsid w:val="00123F2F"/>
    <w:rsid w:val="0014347B"/>
    <w:rsid w:val="0016788D"/>
    <w:rsid w:val="001E1D93"/>
    <w:rsid w:val="001E231E"/>
    <w:rsid w:val="001F2908"/>
    <w:rsid w:val="00220968"/>
    <w:rsid w:val="00245603"/>
    <w:rsid w:val="002507CB"/>
    <w:rsid w:val="00252904"/>
    <w:rsid w:val="0027226A"/>
    <w:rsid w:val="00290420"/>
    <w:rsid w:val="002B6E74"/>
    <w:rsid w:val="002B73D1"/>
    <w:rsid w:val="002D1645"/>
    <w:rsid w:val="002D775D"/>
    <w:rsid w:val="002F787A"/>
    <w:rsid w:val="00300417"/>
    <w:rsid w:val="00331DA2"/>
    <w:rsid w:val="00342D1A"/>
    <w:rsid w:val="00382C1C"/>
    <w:rsid w:val="003B0798"/>
    <w:rsid w:val="003C0AE0"/>
    <w:rsid w:val="003C112A"/>
    <w:rsid w:val="003D422E"/>
    <w:rsid w:val="003D79F3"/>
    <w:rsid w:val="00401C3C"/>
    <w:rsid w:val="004268F3"/>
    <w:rsid w:val="00460030"/>
    <w:rsid w:val="004746B4"/>
    <w:rsid w:val="00481821"/>
    <w:rsid w:val="004C5CE7"/>
    <w:rsid w:val="00500AEB"/>
    <w:rsid w:val="00526F39"/>
    <w:rsid w:val="00550205"/>
    <w:rsid w:val="00552CE4"/>
    <w:rsid w:val="0056419A"/>
    <w:rsid w:val="00570EEA"/>
    <w:rsid w:val="005A1C08"/>
    <w:rsid w:val="005A4C41"/>
    <w:rsid w:val="005A512B"/>
    <w:rsid w:val="005D2CB9"/>
    <w:rsid w:val="00603B4E"/>
    <w:rsid w:val="006318FB"/>
    <w:rsid w:val="006364A7"/>
    <w:rsid w:val="00654BC2"/>
    <w:rsid w:val="00720985"/>
    <w:rsid w:val="007529A7"/>
    <w:rsid w:val="00772312"/>
    <w:rsid w:val="007A0568"/>
    <w:rsid w:val="007A2D95"/>
    <w:rsid w:val="008248E2"/>
    <w:rsid w:val="00826B7C"/>
    <w:rsid w:val="00836434"/>
    <w:rsid w:val="00850284"/>
    <w:rsid w:val="008818D7"/>
    <w:rsid w:val="008A1D01"/>
    <w:rsid w:val="008B4EE7"/>
    <w:rsid w:val="008D5A0E"/>
    <w:rsid w:val="008E00CF"/>
    <w:rsid w:val="00924BDB"/>
    <w:rsid w:val="009308C9"/>
    <w:rsid w:val="009A2D49"/>
    <w:rsid w:val="009E47E9"/>
    <w:rsid w:val="009E6C85"/>
    <w:rsid w:val="009F739F"/>
    <w:rsid w:val="00A725C0"/>
    <w:rsid w:val="00AB106A"/>
    <w:rsid w:val="00AC2FDF"/>
    <w:rsid w:val="00AE6A7B"/>
    <w:rsid w:val="00AF392E"/>
    <w:rsid w:val="00AF67DD"/>
    <w:rsid w:val="00B03E3B"/>
    <w:rsid w:val="00B1182B"/>
    <w:rsid w:val="00B1261F"/>
    <w:rsid w:val="00B12DA4"/>
    <w:rsid w:val="00B5696F"/>
    <w:rsid w:val="00B659B8"/>
    <w:rsid w:val="00B67AE3"/>
    <w:rsid w:val="00B82553"/>
    <w:rsid w:val="00B90E54"/>
    <w:rsid w:val="00BC12A7"/>
    <w:rsid w:val="00BE6492"/>
    <w:rsid w:val="00BF15B4"/>
    <w:rsid w:val="00C15135"/>
    <w:rsid w:val="00C35399"/>
    <w:rsid w:val="00C476CB"/>
    <w:rsid w:val="00C61DEC"/>
    <w:rsid w:val="00C846EC"/>
    <w:rsid w:val="00CA0DF2"/>
    <w:rsid w:val="00CB13B3"/>
    <w:rsid w:val="00CF2522"/>
    <w:rsid w:val="00D52C15"/>
    <w:rsid w:val="00E46FB7"/>
    <w:rsid w:val="00E926AE"/>
    <w:rsid w:val="00E96706"/>
    <w:rsid w:val="00EB1B4C"/>
    <w:rsid w:val="00EF4E45"/>
    <w:rsid w:val="00F31CA9"/>
    <w:rsid w:val="00F77874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1EB3D"/>
  <w15:docId w15:val="{64E2A451-F40C-40B2-A178-A674F91F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48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6E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8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846EC"/>
  </w:style>
  <w:style w:type="paragraph" w:styleId="Textedebulles">
    <w:name w:val="Balloon Text"/>
    <w:basedOn w:val="Normal"/>
    <w:link w:val="TextedebullesCar"/>
    <w:uiPriority w:val="99"/>
    <w:semiHidden/>
    <w:unhideWhenUsed/>
    <w:rsid w:val="00C8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6E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B106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AE0"/>
  </w:style>
  <w:style w:type="paragraph" w:styleId="Pieddepage">
    <w:name w:val="footer"/>
    <w:basedOn w:val="Normal"/>
    <w:link w:val="Pieddepag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AE0"/>
  </w:style>
  <w:style w:type="character" w:styleId="Mentionnonrsolue">
    <w:name w:val="Unresolved Mention"/>
    <w:basedOn w:val="Policepardfaut"/>
    <w:uiPriority w:val="99"/>
    <w:semiHidden/>
    <w:unhideWhenUsed/>
    <w:rsid w:val="003D7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ghu-pari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hu-paris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arc-antoine.dalbis@ghu-pari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3076897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hu-paris.fr/fr/pole-75g26-19eme-arrondissement" TargetMode="External"/><Relationship Id="rId10" Type="http://schemas.openxmlformats.org/officeDocument/2006/relationships/hyperlink" Target="http://www.ghu-paris.fr/fr/2019-ght-devient-ghu-pari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c-antoine.dalbis@ghu-paris.fr" TargetMode="External"/><Relationship Id="rId14" Type="http://schemas.openxmlformats.org/officeDocument/2006/relationships/hyperlink" Target="https://www.ghu-paris.fr/fr/actualites/etre-medecin-au-ghu-paris-vide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hu-paris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ghu-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B44A-6247-41EF-961E-03314CCD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Sophie</dc:creator>
  <cp:lastModifiedBy>D'ALBIS Marc-Antoine</cp:lastModifiedBy>
  <cp:revision>8</cp:revision>
  <cp:lastPrinted>2018-03-21T10:31:00Z</cp:lastPrinted>
  <dcterms:created xsi:type="dcterms:W3CDTF">2024-05-07T10:42:00Z</dcterms:created>
  <dcterms:modified xsi:type="dcterms:W3CDTF">2024-05-07T21:14:00Z</dcterms:modified>
</cp:coreProperties>
</file>